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90"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89" w:name="additional-analysis-for-revision"/>
    <w:p>
      <w:pPr>
        <w:pStyle w:val="Heading2"/>
      </w:pPr>
      <w:r>
        <w:t xml:space="preserve">Additional analysis for revision</w:t>
      </w:r>
    </w:p>
    <w:p>
      <w:pPr>
        <w:pStyle w:val="FirstParagraph"/>
      </w:pPr>
      <w:r>
        <w:t xml:space="preserve">In an additional analysis for Task 2, we categorised whether the re-analysis used the same type of statistical test family as the original analysis. Out of the 396 available analyses, 59% used the same type of test as the original paper. This percentage was slightly higher for experimental designs (63%, 93 out of 147) than for observational studies (57%, 141 out of 249). See Tables S5 and S6, which show the number and percentage of matching analyses by study design type, as well as their relationship to the robustness of the re-analysis effect sizes.</w:t>
      </w:r>
    </w:p>
    <w:p>
      <w:pPr>
        <w:pStyle w:val="BodyText"/>
      </w:pPr>
      <w:r>
        <w:rPr>
          <w:bCs/>
          <w:b/>
        </w:rPr>
        <w:t xml:space="preserve">Table S5. | The Number and Percentage of Matching Analyses by Study Design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Statistical test family</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43.37</w:t>
            </w:r>
          </w:p>
        </w:tc>
      </w:tr>
    </w:tbl>
    <w:p>
      <w:pPr>
        <w:pStyle w:val="BodyText"/>
      </w:pPr>
      <w:r>
        <w:rPr>
          <w:bCs/>
          <w:b/>
        </w:rPr>
        <w:t xml:space="preserve">Table S6. | The Number and Percentage of Matching Analyses by Study Design Type and Their Relationship to the Robustness of the Re-analysis Effect Sizes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bl>
    <w:p>
      <w:pPr>
        <w:pStyle w:val="BodyText"/>
      </w:pPr>
      <w:r>
        <w:t xml:space="preserve">In an additional analysis, we matched the discipline of the original paper with the background of the re-analysts. For 402 re-analyses (from the fields of economics, political science, psychology, and sociology) where we could unambiguously pair the discipline of the study and the analysts’ background, we found a match in 46% of the cases. We recalculated the main results presented in the abstract for each group. We found that 34% (50 out of 147) of the re-analysis effect sizes were within the .05 tolerance region for matching disciplines, while this value was 29% (51 out of 173) for non-matching disciplines. For the matching disciplines, 74% (135 out of 183) of the analyses reached the same conclusion, 24% (43 out of 183) of the analyses were inconclusive, and 3% (5 out of 183) were in the opposite direction from the original claim. In the non-matching disciplines, 70% (153 out of 219) of the analyses reached the same conclusion as the original study, 29% (64 out of 219) were inconclusive, and 1% (2 out of 219) drew the opposite conclusion. These results show very similar patterns for matching and non-matching disciplines, suggesting that the main results are not highly dependent on a match between a paper’s field and an analyst’s background. We present these results in Tables S7, S8, and S9.</w:t>
      </w:r>
    </w:p>
    <w:p>
      <w:pPr>
        <w:pStyle w:val="BodyText"/>
      </w:pPr>
      <w:r>
        <w:rPr>
          <w:bCs/>
          <w:b/>
        </w:rPr>
        <w:t xml:space="preserve">Table S7.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w:t>
            </w:r>
          </w:p>
        </w:tc>
      </w:tr>
    </w:tbl>
    <w:p>
      <w:pPr>
        <w:pStyle w:val="BodyText"/>
      </w:pPr>
      <w:r>
        <w:rPr>
          <w:bCs/>
          <w:b/>
        </w:rPr>
        <w:t xml:space="preserve">Table S8.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r>
    </w:tbl>
    <w:p>
      <w:pPr>
        <w:pStyle w:val="BodyText"/>
      </w:pPr>
      <w:r>
        <w:rPr>
          <w:bCs/>
          <w:b/>
        </w:rPr>
        <w:t xml:space="preserve">Table S9.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Categorisation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r>
    </w:tbl>
    <w:p>
      <w:pPr>
        <w:pStyle w:val="BodyText"/>
      </w:pPr>
      <w:r>
        <w:rPr>
          <w:bCs/>
          <w:b/>
        </w:rPr>
        <w:t xml:space="preserve">Figure SXXX. | …</w:t>
      </w:r>
    </w:p>
    <w:p>
      <w:pPr>
        <w:pStyle w:val="BodyText"/>
      </w:pPr>
      <w:r>
        <w:drawing>
          <wp:inline>
            <wp:extent cx="4620126" cy="3696101"/>
            <wp:effectExtent b="0" l="0" r="0" t="0"/>
            <wp:docPr descr="" title="" id="84" name="Picture"/>
            <a:graphic>
              <a:graphicData uri="http://schemas.openxmlformats.org/drawingml/2006/picture">
                <pic:pic>
                  <pic:nvPicPr>
                    <pic:cNvPr descr="multi100_supplementary_files/figure-docx/unnamed-chunk-5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78 out of the 100 studies, the COS team could reproduce the original results. For the 78 papers where the original analysis could be reproduced, 36% (118 out of 327) of the present re-analyses yielded the same results (within a tolerance region of +/- 0.05 Cohen’s d). Regarding the conclusions drawn, 72% (286 out of 395) of the re-analyses arrived at the same conclusion, 25% (98 out of 395) were inconclusive, and 3% (11 out of 395) of the re-analyses arrived at the opposite conclusion as the original study. For the 22 studies where the original results were not reproducible, 23% (16 out of 69) of the re-analyses yielded the same result within a tolerance region of +/- 0.05 Cohen’s d. 78% (85 out of 109) of the re-analyses arrived at the same conclusion, and 22% (24 out of 109) were inconclusive. No re-analysts arrived at the opposite conclusion as the original study.</w:t>
      </w:r>
      <w:r>
        <w:t xml:space="preserve"> </w:t>
      </w:r>
      <w:r>
        <w:t xml:space="preserve">Please note that those categorised as</w:t>
      </w:r>
      <w:r>
        <w:t xml:space="preserve"> </w:t>
      </w:r>
      <w:r>
        <w:t xml:space="preserve">‘</w:t>
      </w:r>
      <w:r>
        <w:t xml:space="preserve">not being computationally reproduced</w:t>
      </w:r>
      <w:r>
        <w:t xml:space="preserve">’</w:t>
      </w:r>
      <w:r>
        <w:t xml:space="preserve"> </w:t>
      </w:r>
      <w:r>
        <w:t xml:space="preserve">when added to the sample showed only minor differences in the output.</w:t>
      </w:r>
      <w:r>
        <w:t xml:space="preserve"> </w:t>
      </w:r>
      <w:r>
        <w:t xml:space="preserve">Further note:</w:t>
      </w:r>
      <w:r>
        <w:t xml:space="preserve"> </w:t>
      </w:r>
      <w:r>
        <w:t xml:space="preserve">‘</w:t>
      </w:r>
      <w:r>
        <w:t xml:space="preserve">not being computationally reproduced</w:t>
      </w:r>
      <w:r>
        <w:t xml:space="preserve">’</w:t>
      </w:r>
      <w:r>
        <w:t xml:space="preserve"> </w:t>
      </w:r>
      <w:r>
        <w:t xml:space="preserve">covers cases such as the validation failed due to technical limitations, or the analysis code was not provided.</w:t>
      </w:r>
    </w:p>
    <w:p>
      <w:pPr>
        <w:pStyle w:val="BodyText"/>
      </w:pPr>
      <w:r>
        <w:t xml:space="preserve">Without any extreme outliers (Cohen’s d &gt;= 3 and &lt;= -3), we have 419 re-analysis effect sizes. 35% of the re-analysis effect sizes are within a tolerance region (+/- 0.05 Cohen’s d), which is almost the same as our overall finding. Although we report these results here, we found the analyses of d &gt; |3| valid and saw no reason to drop these analyses from the study.</w:t>
      </w:r>
    </w:p>
    <w:p>
      <w:pPr>
        <w:pStyle w:val="BodyText"/>
      </w:pPr>
      <w:r>
        <w:t xml:space="preserve">To calculate the heterogeneity ratio for the re-analysed studies, we divided the standard deviation across effect size estimates in Cohen’s d (as a proxy of between-analysis variability) by the mean standard error of the estimates in the same units (as a proxy of the sampling variation) using the method suggested by Huntington-Klein et al. (2021) (also see Holzmeister et al., 2024). For the calculation, the results of 417 re-analyses were applicable. The median heterogeneity ratio across all papers was 2.03 (IQR = 4.77), which indicates that, on average, the variability due to analytical heterogeneity is about twice as large as the sampling variation. Since this calculation was not planned in the study, the required statistical input values can greatly reflect the re-analysts’ reporting preferences. For example, degrees of freedom (a component of the calculation) can be reported either nominally or reflecting the clustered nature of the model, therefore seriously reduced, by that strongly influencing the output of the calculations. In short, we find this result believable and interesting, but not accurate enough to be discussed in the manuscript.</w:t>
      </w:r>
    </w:p>
    <w:p>
      <w:pPr>
        <w:pStyle w:val="BodyText"/>
      </w:pPr>
      <w:r>
        <w:t xml:space="preserve">Holzmeister, F. et al. Heterogeneity in effect size estimates. Proceedings of the National Academy of Sciences. 121, e2403490121 (2024).</w:t>
      </w:r>
    </w:p>
    <w:p>
      <w:pPr>
        <w:pStyle w:val="BodyText"/>
      </w:pPr>
      <w:r>
        <w:t xml:space="preserve">Huntington-Klein, N. et al. The influence of hidden researcher decisions in applied microeconomics. Econ. Inq. 59, 944–960 (2021).</w:t>
      </w:r>
    </w:p>
    <w:p>
      <w:pPr>
        <w:pStyle w:val="BodyText"/>
      </w:pPr>
      <w:r>
        <w:drawing>
          <wp:inline>
            <wp:extent cx="4620126" cy="3696101"/>
            <wp:effectExtent b="0" l="0" r="0" t="0"/>
            <wp:docPr descr="" title="" id="87" name="Picture"/>
            <a:graphic>
              <a:graphicData uri="http://schemas.openxmlformats.org/drawingml/2006/picture">
                <pic:pic>
                  <pic:nvPicPr>
                    <pic:cNvPr descr="multi100_supplementary_files/figure-docx/unnamed-chunk-6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SXXX. | …</w:t>
      </w:r>
    </w:p>
    <w:p>
      <w:pPr>
        <w:pStyle w:val="BodyText"/>
      </w:pPr>
      <w:r>
        <w:t xml:space="preserve">Upon the reviewer’s interest, we checked each study to determine whether it had open data. It is worth noting that data openness is a spectrum. We encountered several instances where data were technically open but still unavailable due to expired links, closed-access articles, defunct pages, etc. We settled on an operationalization where only a few clicks should be enough to get the data. Otherwise, we labeled the data as closed access. Out of the 100 studies, 47 had available data upon further examination, and 53 did not. Where the original data were available, 27% (47 out of 173) of the re-analysts arrived at the same result as the original study (within a tolerance region of +/- 0.05 Cohen’s d). In contrast, this value was 39% (87 out of 223) for those papers for which we could not easily locate the original data. Regarding the conclusions drawn, where the data were available, 75% (173 out of 231) of analyses were reported to arrive at the same conclusion as in the original investigation; 23% (54 out of 231) came to no effects/inconclusive result, and 2% (4 out of 231) to the opposite effect as in the original investigation. These values were 73% (same; 198 out of 273), 25% (inconclusive; 68 out of 273), and 3% (opposite; 7 out of 273), where the data were not available.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3" Target="media/rId83.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2025-06-19T10:48:20Z</dcterms:created>
  <dcterms:modified xsi:type="dcterms:W3CDTF">2025-06-19T10:48:20Z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