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96" w:rsidRDefault="0067596A">
      <w:pPr>
        <w:pStyle w:val="1"/>
        <w:numPr>
          <w:ilvl w:val="0"/>
          <w:numId w:val="0"/>
        </w:numPr>
        <w:spacing w:after="0" w:line="360" w:lineRule="auto"/>
      </w:pPr>
      <w:r>
        <w:rPr>
          <w:lang w:val="uk-UA"/>
        </w:rPr>
        <w:t xml:space="preserve">5 ОХОРОНА ПРАЦІ ТА НАВКОЛИШНЬОГО СЕРЕДОВИЩА </w:t>
      </w:r>
    </w:p>
    <w:p w:rsidR="00397E96" w:rsidRDefault="00397E96">
      <w:pPr>
        <w:spacing w:after="0" w:line="360" w:lineRule="auto"/>
        <w:ind w:right="0" w:firstLine="709"/>
        <w:rPr>
          <w:lang w:val="uk-UA"/>
        </w:rPr>
      </w:pPr>
    </w:p>
    <w:p w:rsidR="00397E96" w:rsidRDefault="0067596A" w:rsidP="00737CD1">
      <w:pPr>
        <w:pStyle w:val="2"/>
        <w:numPr>
          <w:ilvl w:val="0"/>
          <w:numId w:val="0"/>
        </w:numPr>
        <w:spacing w:after="0" w:line="360" w:lineRule="auto"/>
        <w:ind w:firstLine="708"/>
      </w:pPr>
      <w:r>
        <w:rPr>
          <w:b w:val="0"/>
          <w:lang w:val="uk-UA"/>
        </w:rPr>
        <w:t xml:space="preserve">5.1 Загальні питання охорони праці </w:t>
      </w:r>
    </w:p>
    <w:p w:rsidR="00397E96" w:rsidRDefault="0067596A">
      <w:pPr>
        <w:spacing w:after="0" w:line="360" w:lineRule="auto"/>
        <w:ind w:right="0" w:firstLine="709"/>
      </w:pPr>
      <w:r>
        <w:rPr>
          <w:lang w:val="uk-UA"/>
        </w:rPr>
        <w:t>Темою дипломної магістерської</w:t>
      </w:r>
      <w:bookmarkStart w:id="0" w:name="_GoBack"/>
      <w:bookmarkEnd w:id="0"/>
      <w:r>
        <w:rPr>
          <w:lang w:val="uk-UA"/>
        </w:rPr>
        <w:t xml:space="preserve"> роботи є «</w:t>
      </w:r>
      <w:r w:rsidRPr="0067596A">
        <w:rPr>
          <w:lang w:val="uk-UA"/>
        </w:rPr>
        <w:t xml:space="preserve">Дослідження системи управління </w:t>
      </w:r>
      <w:proofErr w:type="spellStart"/>
      <w:r w:rsidRPr="0067596A">
        <w:rPr>
          <w:lang w:val="uk-UA"/>
        </w:rPr>
        <w:t>ІоТ</w:t>
      </w:r>
      <w:proofErr w:type="spellEnd"/>
      <w:r>
        <w:rPr>
          <w:lang w:val="uk-UA"/>
        </w:rPr>
        <w:t xml:space="preserve">». Виконання дипломної роботи здійснювалося з застосуванням персональної ЕОМ, тому даний розділ присвячений питанням охорони праці користувача ЕОМ на стадії розрахунків та розробки програмного продукту.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Професійні захворювання мають різний характер відпов</w:t>
      </w:r>
      <w:r>
        <w:rPr>
          <w:lang w:val="uk-UA"/>
        </w:rPr>
        <w:t>ідно області, де працює людина. Розробка автоматизованих систем управління, створення ЕОМ полегшують і прискорюють виконання роботи. Але слід враховувати, що для запобігання отримання професійних захворювань час роботи за ЕОМ необхідно обмежувати, а саму р</w:t>
      </w:r>
      <w:r>
        <w:rPr>
          <w:lang w:val="uk-UA"/>
        </w:rPr>
        <w:t xml:space="preserve">оботу проводити на правильно організованому робочому місці. </w:t>
      </w:r>
    </w:p>
    <w:p w:rsidR="00397E96" w:rsidRDefault="0067596A">
      <w:pPr>
        <w:spacing w:after="0" w:line="360" w:lineRule="auto"/>
        <w:ind w:right="0" w:firstLine="709"/>
      </w:pPr>
      <w:r>
        <w:rPr>
          <w:lang w:val="uk-UA"/>
        </w:rPr>
        <w:t>Закон України «Про охорону праці» визначає основні положення щодо реалізації конституційного права працівників на охорону їх життя і здоров’я у процесі трудової діяльності, на належні, безпечні і</w:t>
      </w:r>
      <w:r>
        <w:rPr>
          <w:lang w:val="uk-UA"/>
        </w:rPr>
        <w:t xml:space="preserve"> здорові умови праці, регулює за участю відповідних органів державної влади відносини між роботодавцем і працівником з питань безпеки, гігієни праці та виробничого середовища і встановлює єдиний порядок організації охорони праці в Україні [17].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Приміщення</w:t>
      </w:r>
      <w:r>
        <w:rPr>
          <w:lang w:val="uk-UA"/>
        </w:rPr>
        <w:t xml:space="preserve"> лабораторії, у якому виконувалася дана робота, розташовано на третьому поверсі дев’ятиповерхового будинку. Площа приміщення, у якому виконувався дипломний проект, складає 120 м</w:t>
      </w:r>
      <w:r>
        <w:rPr>
          <w:vertAlign w:val="superscript"/>
          <w:lang w:val="uk-UA"/>
        </w:rPr>
        <w:t>2</w:t>
      </w:r>
      <w:r>
        <w:rPr>
          <w:lang w:val="uk-UA"/>
        </w:rPr>
        <w:t>, у ньому 15 робочі місця, тобто  на робоче місце приходиться 8 м</w:t>
      </w:r>
      <w:r>
        <w:rPr>
          <w:vertAlign w:val="superscript"/>
          <w:lang w:val="uk-UA"/>
        </w:rPr>
        <w:t>2</w:t>
      </w:r>
      <w:r>
        <w:rPr>
          <w:lang w:val="uk-UA"/>
        </w:rPr>
        <w:t>. Об’єм прим</w:t>
      </w:r>
      <w:r>
        <w:rPr>
          <w:lang w:val="uk-UA"/>
        </w:rPr>
        <w:t>іщення лабораторії складає 240 м</w:t>
      </w:r>
      <w:r>
        <w:rPr>
          <w:vertAlign w:val="superscript"/>
          <w:lang w:val="uk-UA"/>
        </w:rPr>
        <w:t>3</w:t>
      </w:r>
      <w:r>
        <w:rPr>
          <w:lang w:val="uk-UA"/>
        </w:rPr>
        <w:t>, тобто на одне робоче місце приходиться 16 м</w:t>
      </w:r>
      <w:r>
        <w:rPr>
          <w:vertAlign w:val="superscript"/>
          <w:lang w:val="uk-UA"/>
        </w:rPr>
        <w:t>3</w:t>
      </w:r>
      <w:r>
        <w:rPr>
          <w:lang w:val="uk-UA"/>
        </w:rPr>
        <w:t>. Зважаючи на те, що на одне робоче місце згідно НПАОП 0.00-1.28-2010. [18], повинне приходитися не менш 6 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та не менше 20м</w:t>
      </w:r>
      <w:r>
        <w:rPr>
          <w:vertAlign w:val="superscript"/>
          <w:lang w:val="uk-UA"/>
        </w:rPr>
        <w:t>3</w:t>
      </w:r>
      <w:r>
        <w:rPr>
          <w:lang w:val="uk-UA"/>
        </w:rPr>
        <w:t xml:space="preserve"> можна зробити висновок, що розміри приміщення відп</w:t>
      </w:r>
      <w:r>
        <w:rPr>
          <w:lang w:val="uk-UA"/>
        </w:rPr>
        <w:t xml:space="preserve">овідають нормам проектування. </w:t>
      </w:r>
    </w:p>
    <w:p w:rsidR="00737CD1" w:rsidRDefault="00737CD1">
      <w:pPr>
        <w:spacing w:after="0" w:line="360" w:lineRule="auto"/>
        <w:ind w:right="0" w:firstLine="709"/>
        <w:rPr>
          <w:lang w:val="uk-UA"/>
        </w:rPr>
      </w:pPr>
    </w:p>
    <w:p w:rsidR="00737CD1" w:rsidRDefault="00737CD1" w:rsidP="00737CD1">
      <w:pPr>
        <w:spacing w:after="0" w:line="360" w:lineRule="auto"/>
        <w:ind w:right="0" w:firstLine="709"/>
      </w:pPr>
      <w:r>
        <w:rPr>
          <w:lang w:val="uk-UA"/>
        </w:rPr>
        <w:lastRenderedPageBreak/>
        <w:t>5.2</w:t>
      </w:r>
      <w:r>
        <w:rPr>
          <w:lang w:val="uk-UA"/>
        </w:rPr>
        <w:t xml:space="preserve"> Режим праці та відпочинку користувача ЕОМ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Режим праці і відпочинку при роботі за візуальними дисплейними терміналами (ВДТ) залежать від виду і категорії трудової діяльності. Види трудової діяльності розділяються на три групи [29]: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 xml:space="preserve">1) розробники програм (інженери-програмісти) – виконують роботу переважно з </w:t>
      </w:r>
      <w:proofErr w:type="spellStart"/>
      <w:r>
        <w:rPr>
          <w:rFonts w:ascii="TimesNewRoman" w:hAnsi="TimesNewRoman"/>
          <w:color w:val="222222"/>
          <w:szCs w:val="28"/>
          <w:lang w:val="uk-UA"/>
        </w:rPr>
        <w:t>відеотерміналом</w:t>
      </w:r>
      <w:proofErr w:type="spellEnd"/>
      <w:r>
        <w:rPr>
          <w:rFonts w:ascii="TimesNewRoman" w:hAnsi="TimesNewRoman"/>
          <w:color w:val="222222"/>
          <w:szCs w:val="28"/>
          <w:lang w:val="uk-UA"/>
        </w:rPr>
        <w:t xml:space="preserve"> та документацією, пов’язану з інтенсивним обміном інформацією з ЕОМ і прийняттям рішень. Робота характеризується інтенсивною розумовою творчою працею з підвищеним напруженням зору, </w:t>
      </w:r>
      <w:proofErr w:type="spellStart"/>
      <w:r>
        <w:rPr>
          <w:rFonts w:ascii="TimesNewRoman" w:hAnsi="TimesNewRoman"/>
          <w:color w:val="222222"/>
          <w:szCs w:val="28"/>
          <w:lang w:val="uk-UA"/>
        </w:rPr>
        <w:t>конценрацією</w:t>
      </w:r>
      <w:proofErr w:type="spellEnd"/>
      <w:r>
        <w:rPr>
          <w:rFonts w:ascii="TimesNewRoman" w:hAnsi="TimesNewRoman"/>
          <w:color w:val="222222"/>
          <w:szCs w:val="28"/>
          <w:lang w:val="uk-UA"/>
        </w:rPr>
        <w:t xml:space="preserve"> уваги на фоні нервово-емоційного напруження, вимушеною робочою позою, загальною гіподинамією, періодичним навантаженням на кисті верхніх кінцівок. Робота виконується в режимі діалогу з ЕОМ у вільному темпі з періодичним пошуком помилок в умовах дефіциту часу;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2) оператори електронно-обчислювальних машин – виконують роботу яка пов'язана з обліком інформації, одержаної з ВДТ за попереднім запитом, або тієї, що надходить з нього, супроводжується перервами різної тривалості, пов'язана з виконанням іншої роботи і характеризується як робота з напруженням зору, невеликими фізичними зусиллями, нервовим напруженням середнього ступеня та виконується у вільному темпі;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3) оператор комп'ютерного набору – виконує одноманітні за характером роботи з документацією та клавіатурою і нечастими нетривалими переключеннями погляду на екран дисплея, з введенням даних з високою швидкістю, робота характеризується як фізична праця з підвищеним навантаженням на кисті верхніх кінцівок на фоні загальної гіподинамії з напруженням зору (фіксація зору переважно на документи), нервово-емоційним напруженням.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 xml:space="preserve">Санітарні норми [29] встановлюють такі </w:t>
      </w:r>
      <w:proofErr w:type="spellStart"/>
      <w:r>
        <w:rPr>
          <w:rFonts w:ascii="TimesNewRoman" w:hAnsi="TimesNewRoman"/>
          <w:color w:val="222222"/>
          <w:szCs w:val="28"/>
          <w:lang w:val="uk-UA"/>
        </w:rPr>
        <w:t>внутрішньозмінні</w:t>
      </w:r>
      <w:proofErr w:type="spellEnd"/>
      <w:r>
        <w:rPr>
          <w:rFonts w:ascii="TimesNewRoman" w:hAnsi="TimesNewRoman"/>
          <w:color w:val="222222"/>
          <w:szCs w:val="28"/>
          <w:lang w:val="uk-UA"/>
        </w:rPr>
        <w:t xml:space="preserve"> режими праці та відпочинку при роботі з ЕОМ при 8-годинній денній робочій зміні в залежності від характеру праці: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lastRenderedPageBreak/>
        <w:t>- для розробників програм із застосуванням ЕОМ слід призначати регламентовану перерву для відпочинку тривалістю 15 хвилин через кожну годину роботи за ВДТ;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- для операторів із застосування ЕОМ слід призначати регламентовані перерви для відпочинку тривалістю 15 хвилин через кожні дві години;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- для операторів комп'ютерного набору слід призначати регламентовані перерви для відпочинку тривалістю 10 хвилин після кожної години роботи за ВДТ.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У випадках, коли виробничі обставини не дозволяють застосувати регламентовані перерви, тривалість безперервної роботи з ВДТ не повинна перевищувати 4 години.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При 12-годинній робочій зміні регламентовані перерви повинні встановлюватися в перші 8 годин роботи аналогічно перервам при 8-годинній робочій зміні, а протягом останніх 4-х годин роботи, незалежно від характеру трудової діяльності, через кожну годину тривалістю 15 хвилин.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 xml:space="preserve">З метою зменшення негативного впливу монотонності є доцільним застосовувати чергування операцій введення осмисленого тексту і числових даних (зміна змісту робіт), чергування редагування текстів і введення даних (зміна змісту і темпу роботи) і </w:t>
      </w:r>
      <w:proofErr w:type="spellStart"/>
      <w:r>
        <w:rPr>
          <w:rFonts w:ascii="TimesNewRoman" w:hAnsi="TimesNewRoman"/>
          <w:color w:val="222222"/>
          <w:szCs w:val="28"/>
          <w:lang w:val="uk-UA"/>
        </w:rPr>
        <w:t>т.п</w:t>
      </w:r>
      <w:proofErr w:type="spellEnd"/>
      <w:r>
        <w:rPr>
          <w:rFonts w:ascii="TimesNewRoman" w:hAnsi="TimesNewRoman"/>
          <w:color w:val="222222"/>
          <w:szCs w:val="28"/>
          <w:lang w:val="uk-UA"/>
        </w:rPr>
        <w:t>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 xml:space="preserve">Для зниження нервово-емоційного напруження, </w:t>
      </w:r>
      <w:proofErr w:type="spellStart"/>
      <w:r>
        <w:rPr>
          <w:rFonts w:ascii="TimesNewRoman" w:hAnsi="TimesNewRoman"/>
          <w:color w:val="222222"/>
          <w:szCs w:val="28"/>
          <w:lang w:val="uk-UA"/>
        </w:rPr>
        <w:t>втомлення</w:t>
      </w:r>
      <w:proofErr w:type="spellEnd"/>
      <w:r>
        <w:rPr>
          <w:rFonts w:ascii="TimesNewRoman" w:hAnsi="TimesNewRoman"/>
          <w:color w:val="222222"/>
          <w:szCs w:val="28"/>
          <w:lang w:val="uk-UA"/>
        </w:rPr>
        <w:t xml:space="preserve"> зорового аналізатора, поліпшення мозкового кровообігу, подолання несприятливих наслідків гіподинамії, запобігання втомі доцільні деякі перерви використовувати для виконання комплексу вправ.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 xml:space="preserve">В окремих випадках – при хронічних скаргах працюючих з ВДТ ЕОМ і ПЕОМ на зорове стомлення, незважаючи на дотримання санітарно-гігієнічних вимог до режимів праці і відпочинку, а також застосування засобів локального захисту очей – допускаються індивідуальних підхід до обмеження часу робіт з ВДТ, зміни </w:t>
      </w:r>
      <w:proofErr w:type="spellStart"/>
      <w:r>
        <w:rPr>
          <w:rFonts w:ascii="TimesNewRoman" w:hAnsi="TimesNewRoman"/>
          <w:color w:val="222222"/>
          <w:szCs w:val="28"/>
          <w:lang w:val="uk-UA"/>
        </w:rPr>
        <w:t>характера</w:t>
      </w:r>
      <w:proofErr w:type="spellEnd"/>
      <w:r>
        <w:rPr>
          <w:rFonts w:ascii="TimesNewRoman" w:hAnsi="TimesNewRoman"/>
          <w:color w:val="222222"/>
          <w:szCs w:val="28"/>
          <w:lang w:val="uk-UA"/>
        </w:rPr>
        <w:t xml:space="preserve"> праці, чергування з іншими видами діяльності, не пов'язаними з ВДТ.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lastRenderedPageBreak/>
        <w:t>Активний відпочинок має полягати у виконанні комплексу гімнастичних вправ, спрямованих на зняття нервового напруження, м'язове розслаблення, відновлення функцій фізіологічних систем, що порушуються протягом трудового процесу, зняття втоми очей, поліпшення мозкового кровообігу і працездатності.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За умови високого рівня напруженості робіт з ВДТ показане психологічне розвантаження у спеціально обладнаних приміщеннях (в кімнатах психологічного розвантаження) під час регламентованих перерв або в кінці робочого дня.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При роботі за ВДТ в нічну зміну, незалежно від групи і категорії робіт, тривалість регламентованих перерв збільшується на 60 хвилин.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Залучення жінок до робіт у нічний час є неприпустимим, за винятком випадків, обумовлених статтею 175 Кодексу законів про працю України.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>Під час регламентованих перерв з метою зниження нервово-емоційної напруги, що розвивається у користувачів, стомлення зорового аналізатора, усунення негативного впливу гіподинамії і гіпокінезії, запобігання розвитку стомлення доцільно виконувати комплекси спеціальних профілактико-реабілітаційних вправ.</w:t>
      </w:r>
    </w:p>
    <w:p w:rsidR="00737CD1" w:rsidRDefault="00737CD1" w:rsidP="00737CD1">
      <w:pPr>
        <w:spacing w:after="0" w:line="360" w:lineRule="auto"/>
        <w:ind w:right="0" w:firstLine="709"/>
        <w:rPr>
          <w:rFonts w:ascii="TimesNewRoman" w:hAnsi="TimesNewRoman"/>
          <w:color w:val="222222"/>
          <w:szCs w:val="28"/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 xml:space="preserve">У разі виникнення у працюючих за ВДТ зорового дискомфорту та інших несприятливих суб'єктивних </w:t>
      </w:r>
      <w:proofErr w:type="spellStart"/>
      <w:r>
        <w:rPr>
          <w:rFonts w:ascii="TimesNewRoman" w:hAnsi="TimesNewRoman"/>
          <w:color w:val="222222"/>
          <w:szCs w:val="28"/>
          <w:lang w:val="uk-UA"/>
        </w:rPr>
        <w:t>відчуттів</w:t>
      </w:r>
      <w:proofErr w:type="spellEnd"/>
      <w:r>
        <w:rPr>
          <w:rFonts w:ascii="TimesNewRoman" w:hAnsi="TimesNewRoman"/>
          <w:color w:val="222222"/>
          <w:szCs w:val="28"/>
          <w:lang w:val="uk-UA"/>
        </w:rPr>
        <w:t>, що наступають незважаючи на дотримання санітарно-гігієнічних, ергономічних вимог, режимів праці і відпочинку, слід застосовувати індивідуальний підхід в обмеженні часу робіт за ВДТ і коригувати тривалість перерв для відпочинку або проводити заміну видів робіт (не зв'язаних з використанням ВДТ).</w:t>
      </w:r>
    </w:p>
    <w:p w:rsidR="00737CD1" w:rsidRDefault="00737CD1">
      <w:pPr>
        <w:spacing w:after="0" w:line="360" w:lineRule="auto"/>
        <w:ind w:right="0" w:firstLine="709"/>
      </w:pPr>
    </w:p>
    <w:p w:rsidR="00397E96" w:rsidRDefault="00737CD1" w:rsidP="00737CD1">
      <w:pPr>
        <w:pStyle w:val="2"/>
        <w:numPr>
          <w:ilvl w:val="0"/>
          <w:numId w:val="0"/>
        </w:numPr>
        <w:spacing w:after="0" w:line="360" w:lineRule="auto"/>
        <w:ind w:left="709"/>
      </w:pPr>
      <w:r>
        <w:rPr>
          <w:b w:val="0"/>
          <w:lang w:val="uk-UA"/>
        </w:rPr>
        <w:t>5.3</w:t>
      </w:r>
      <w:r w:rsidR="0067596A">
        <w:rPr>
          <w:b w:val="0"/>
          <w:lang w:val="uk-UA"/>
        </w:rPr>
        <w:t xml:space="preserve"> Виробнича санітарія </w:t>
      </w:r>
    </w:p>
    <w:p w:rsidR="00397E96" w:rsidRDefault="0067596A">
      <w:pPr>
        <w:spacing w:after="0" w:line="360" w:lineRule="auto"/>
        <w:ind w:right="0" w:firstLine="709"/>
      </w:pPr>
      <w:r>
        <w:rPr>
          <w:lang w:val="uk-UA"/>
        </w:rPr>
        <w:t>Виконання роботи здійснювалося за допомогою персонального комп’ютера. Робота за комп’ютером, як і інші види діяльності людини на виробництві, пов’язана з небезпекою одержання травм і профес</w:t>
      </w:r>
      <w:r>
        <w:rPr>
          <w:lang w:val="uk-UA"/>
        </w:rPr>
        <w:t xml:space="preserve">ійних захворювань. Перелік шкідливих і небезпечних виробничих факторів </w:t>
      </w:r>
      <w:r>
        <w:rPr>
          <w:lang w:val="uk-UA"/>
        </w:rPr>
        <w:lastRenderedPageBreak/>
        <w:t xml:space="preserve">відповідно до </w:t>
      </w:r>
      <w:proofErr w:type="spellStart"/>
      <w:r>
        <w:rPr>
          <w:lang w:val="uk-UA"/>
        </w:rPr>
        <w:t>ДСанПіН</w:t>
      </w:r>
      <w:proofErr w:type="spellEnd"/>
      <w:r>
        <w:rPr>
          <w:lang w:val="uk-UA"/>
        </w:rPr>
        <w:t xml:space="preserve"> [19], а також джерела їх виникнення наведені в таблиці 5.1. </w:t>
      </w:r>
    </w:p>
    <w:p w:rsidR="00397E96" w:rsidRDefault="0067596A">
      <w:pPr>
        <w:spacing w:after="0" w:line="360" w:lineRule="auto"/>
        <w:ind w:right="0" w:firstLine="709"/>
      </w:pPr>
      <w:r>
        <w:rPr>
          <w:lang w:val="uk-UA"/>
        </w:rPr>
        <w:t xml:space="preserve">Таблиця 5.1 – Перелік шкідливих і небезпечних виробничих факторів приміщенні з ЕОМ </w:t>
      </w:r>
    </w:p>
    <w:tbl>
      <w:tblPr>
        <w:tblStyle w:val="TableGrid"/>
        <w:tblW w:w="94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6" w:type="dxa"/>
          <w:left w:w="107" w:type="dxa"/>
          <w:right w:w="36" w:type="dxa"/>
        </w:tblCellMar>
        <w:tblLook w:val="04A0" w:firstRow="1" w:lastRow="0" w:firstColumn="1" w:lastColumn="0" w:noHBand="0" w:noVBand="1"/>
      </w:tblPr>
      <w:tblGrid>
        <w:gridCol w:w="2967"/>
        <w:gridCol w:w="4607"/>
        <w:gridCol w:w="1858"/>
      </w:tblGrid>
      <w:tr w:rsidR="00397E96">
        <w:trPr>
          <w:trHeight w:val="38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фактору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Джер</w:t>
            </w:r>
            <w:r>
              <w:rPr>
                <w:lang w:val="uk-UA"/>
              </w:rPr>
              <w:t xml:space="preserve">ела їх виникнення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Характер дії </w:t>
            </w:r>
          </w:p>
        </w:tc>
      </w:tr>
      <w:tr w:rsidR="00397E96">
        <w:trPr>
          <w:trHeight w:val="75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>
              <w:rPr>
                <w:lang w:val="uk-UA"/>
              </w:rPr>
              <w:t xml:space="preserve">Незадовільні </w:t>
            </w:r>
            <w:proofErr w:type="spellStart"/>
            <w:r>
              <w:rPr>
                <w:lang w:val="uk-UA"/>
              </w:rPr>
              <w:t>метеоумови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>
              <w:rPr>
                <w:lang w:val="uk-UA"/>
              </w:rPr>
              <w:t xml:space="preserve">Недостатнє опалення, стан систем природної і штучної вентиляції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66" w:right="0" w:firstLine="0"/>
              <w:rPr>
                <w:lang w:val="uk-UA"/>
              </w:rPr>
            </w:pPr>
            <w:r>
              <w:rPr>
                <w:lang w:val="uk-UA"/>
              </w:rPr>
              <w:t>Шкідливий</w:t>
            </w:r>
          </w:p>
        </w:tc>
      </w:tr>
      <w:tr w:rsidR="00397E96">
        <w:trPr>
          <w:trHeight w:val="75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>
              <w:rPr>
                <w:lang w:val="uk-UA"/>
              </w:rPr>
              <w:t xml:space="preserve">Незадовільна освітленість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tabs>
                <w:tab w:val="center" w:pos="1562"/>
                <w:tab w:val="center" w:pos="3142"/>
                <w:tab w:val="right" w:pos="4462"/>
              </w:tabs>
              <w:spacing w:after="0" w:line="240" w:lineRule="auto"/>
              <w:ind w:left="30" w:right="174" w:firstLine="0"/>
              <w:rPr>
                <w:lang w:val="uk-UA"/>
              </w:rPr>
            </w:pPr>
            <w:r>
              <w:rPr>
                <w:lang w:val="uk-UA"/>
              </w:rPr>
              <w:t xml:space="preserve">Стан систем </w:t>
            </w:r>
            <w:r>
              <w:rPr>
                <w:lang w:val="uk-UA"/>
              </w:rPr>
              <w:tab/>
              <w:t xml:space="preserve">природного і штучного освітлення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66" w:right="0" w:firstLine="0"/>
              <w:rPr>
                <w:lang w:val="uk-UA"/>
              </w:rPr>
            </w:pPr>
            <w:r>
              <w:rPr>
                <w:lang w:val="uk-UA"/>
              </w:rPr>
              <w:t>Шкідливий</w:t>
            </w:r>
          </w:p>
        </w:tc>
      </w:tr>
      <w:tr w:rsidR="00397E96">
        <w:trPr>
          <w:trHeight w:val="75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>
              <w:rPr>
                <w:lang w:val="uk-UA"/>
              </w:rPr>
              <w:t xml:space="preserve">Статистична електрика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>
              <w:rPr>
                <w:lang w:val="uk-UA"/>
              </w:rPr>
              <w:t xml:space="preserve">Висока напруга в ЕЛТ дисплея і наявність діелектричної поверхні екрана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66" w:right="0" w:firstLine="0"/>
              <w:rPr>
                <w:lang w:val="uk-UA"/>
              </w:rPr>
            </w:pPr>
            <w:r>
              <w:rPr>
                <w:lang w:val="uk-UA"/>
              </w:rPr>
              <w:t>Шкідливий</w:t>
            </w:r>
          </w:p>
        </w:tc>
      </w:tr>
      <w:tr w:rsidR="00397E96">
        <w:trPr>
          <w:trHeight w:val="148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>
              <w:rPr>
                <w:lang w:val="uk-UA"/>
              </w:rPr>
              <w:t xml:space="preserve">Підвищений рівень шуму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>
              <w:rPr>
                <w:lang w:val="uk-UA"/>
              </w:rPr>
              <w:t xml:space="preserve">Шум створюється кондиціонерами, вентиляторами, перетворювачами напруги ЕОМ і її технічною периферією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66" w:right="0" w:firstLine="0"/>
              <w:rPr>
                <w:lang w:val="uk-UA"/>
              </w:rPr>
            </w:pPr>
            <w:r>
              <w:rPr>
                <w:lang w:val="uk-UA"/>
              </w:rPr>
              <w:t>Шкідливий</w:t>
            </w:r>
          </w:p>
        </w:tc>
      </w:tr>
      <w:tr w:rsidR="00397E96">
        <w:trPr>
          <w:trHeight w:val="49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>
              <w:rPr>
                <w:lang w:val="uk-UA"/>
              </w:rPr>
              <w:t xml:space="preserve">Електричний струм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>
              <w:rPr>
                <w:lang w:val="uk-UA"/>
              </w:rPr>
              <w:t xml:space="preserve">Мережа перемінного струму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66" w:right="0" w:firstLine="0"/>
              <w:rPr>
                <w:lang w:val="uk-UA"/>
              </w:rPr>
            </w:pPr>
            <w:r>
              <w:rPr>
                <w:lang w:val="uk-UA"/>
              </w:rPr>
              <w:t>Небезпечний</w:t>
            </w:r>
          </w:p>
        </w:tc>
      </w:tr>
      <w:tr w:rsidR="00397E96">
        <w:trPr>
          <w:trHeight w:val="749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>
              <w:rPr>
                <w:lang w:val="uk-UA"/>
              </w:rPr>
              <w:t xml:space="preserve">ЕМВ, у тому числі рентгенівське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>
              <w:rPr>
                <w:lang w:val="uk-UA"/>
              </w:rPr>
              <w:t xml:space="preserve">ЕЛТ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66" w:right="0" w:firstLine="0"/>
              <w:rPr>
                <w:lang w:val="uk-UA"/>
              </w:rPr>
            </w:pPr>
            <w:r>
              <w:rPr>
                <w:lang w:val="uk-UA"/>
              </w:rPr>
              <w:t>Шкідливий</w:t>
            </w:r>
          </w:p>
        </w:tc>
      </w:tr>
      <w:tr w:rsidR="00397E96">
        <w:trPr>
          <w:trHeight w:val="75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>
              <w:rPr>
                <w:lang w:val="uk-UA"/>
              </w:rPr>
              <w:t xml:space="preserve">Іонізація повітря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>
              <w:rPr>
                <w:lang w:val="uk-UA"/>
              </w:rPr>
              <w:t xml:space="preserve">Статична електрика і рентгенівське випромінювання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66" w:right="0" w:firstLine="0"/>
              <w:rPr>
                <w:lang w:val="uk-UA"/>
              </w:rPr>
            </w:pPr>
            <w:r>
              <w:rPr>
                <w:lang w:val="uk-UA"/>
              </w:rPr>
              <w:t>Шкідливий</w:t>
            </w:r>
          </w:p>
        </w:tc>
      </w:tr>
      <w:tr w:rsidR="00397E96">
        <w:trPr>
          <w:trHeight w:val="148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>
              <w:rPr>
                <w:lang w:val="uk-UA"/>
              </w:rPr>
              <w:t xml:space="preserve">Психофізіологічна напруга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>
              <w:rPr>
                <w:lang w:val="uk-UA"/>
              </w:rPr>
              <w:t xml:space="preserve">Монотонність праці, перенапруги зорового аналізатора, розумова перенапруга, статичність і незручність пози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66" w:right="0" w:firstLine="0"/>
              <w:rPr>
                <w:lang w:val="uk-UA"/>
              </w:rPr>
            </w:pPr>
            <w:r>
              <w:rPr>
                <w:lang w:val="uk-UA"/>
              </w:rPr>
              <w:t>Шкідливий</w:t>
            </w:r>
          </w:p>
        </w:tc>
      </w:tr>
      <w:tr w:rsidR="00397E96">
        <w:trPr>
          <w:trHeight w:val="75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>
              <w:rPr>
                <w:lang w:val="uk-UA"/>
              </w:rPr>
              <w:t xml:space="preserve">Пожежна небезпека приміщенням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>
              <w:rPr>
                <w:lang w:val="uk-UA"/>
              </w:rPr>
              <w:t xml:space="preserve">Наявність спаленних матеріалів і можливих джерел запалювання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left="66" w:right="0" w:firstLine="0"/>
              <w:rPr>
                <w:lang w:val="uk-UA"/>
              </w:rPr>
            </w:pPr>
            <w:r>
              <w:rPr>
                <w:lang w:val="uk-UA"/>
              </w:rPr>
              <w:t>Небезпечний, шкідливий</w:t>
            </w:r>
          </w:p>
        </w:tc>
      </w:tr>
    </w:tbl>
    <w:p w:rsidR="00397E96" w:rsidRDefault="0067596A">
      <w:pPr>
        <w:spacing w:after="0" w:line="360" w:lineRule="auto"/>
        <w:ind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Робота на персональній ЕОМ виконується сидячи і супроводжується незнач</w:t>
      </w:r>
      <w:r>
        <w:rPr>
          <w:lang w:val="uk-UA"/>
        </w:rPr>
        <w:t>ним фізичним навантаженням, витрати енергії не перевищують 139</w:t>
      </w:r>
      <w:r>
        <w:rPr>
          <w:rFonts w:ascii="Arial" w:eastAsia="Arial" w:hAnsi="Arial" w:cs="Arial"/>
          <w:color w:val="444444"/>
          <w:sz w:val="20"/>
          <w:lang w:val="uk-UA"/>
        </w:rPr>
        <w:t xml:space="preserve"> </w:t>
      </w:r>
      <w:r>
        <w:rPr>
          <w:lang w:val="uk-UA"/>
        </w:rPr>
        <w:t xml:space="preserve">Вт, </w:t>
      </w:r>
      <w:r>
        <w:rPr>
          <w:lang w:val="uk-UA"/>
        </w:rPr>
        <w:lastRenderedPageBreak/>
        <w:t xml:space="preserve">тому ця робота, відповідно до ДСН 3.3.6.042-99, відноситься до категорії важкості </w:t>
      </w:r>
      <w:r>
        <w:rPr>
          <w:sz w:val="16"/>
          <w:lang w:val="uk-UA"/>
        </w:rPr>
        <w:t>—</w:t>
      </w:r>
      <w:r>
        <w:rPr>
          <w:lang w:val="uk-UA"/>
        </w:rPr>
        <w:t xml:space="preserve"> легка фізична </w:t>
      </w:r>
      <w:proofErr w:type="spellStart"/>
      <w:r>
        <w:rPr>
          <w:lang w:val="uk-UA"/>
        </w:rPr>
        <w:t>Іа</w:t>
      </w:r>
      <w:proofErr w:type="spellEnd"/>
      <w:r>
        <w:rPr>
          <w:lang w:val="uk-UA"/>
        </w:rPr>
        <w:t xml:space="preserve">. </w:t>
      </w:r>
    </w:p>
    <w:p w:rsidR="00397E96" w:rsidRDefault="0067596A">
      <w:pPr>
        <w:spacing w:after="0" w:line="360" w:lineRule="auto"/>
        <w:ind w:right="0" w:firstLine="709"/>
      </w:pPr>
      <w:r>
        <w:rPr>
          <w:lang w:val="uk-UA"/>
        </w:rPr>
        <w:t>Згідно з ДСН 3.3.6.042-99 [20] треба ураховувати високу нервово-емоційну перенапругу к</w:t>
      </w:r>
      <w:r>
        <w:rPr>
          <w:lang w:val="uk-UA"/>
        </w:rPr>
        <w:t xml:space="preserve">ористувачів, тому в приміщеннях з ЕОМ повинні підтримуватися тільки оптимальні параметри мікроклімату, що наведені в таблиця 5.2. </w:t>
      </w:r>
    </w:p>
    <w:p w:rsidR="00397E96" w:rsidRDefault="00397E96">
      <w:pPr>
        <w:spacing w:after="0" w:line="360" w:lineRule="auto"/>
        <w:ind w:right="0" w:firstLine="709"/>
        <w:rPr>
          <w:lang w:val="uk-UA"/>
        </w:rPr>
      </w:pPr>
    </w:p>
    <w:p w:rsidR="00397E96" w:rsidRDefault="0067596A">
      <w:pPr>
        <w:spacing w:after="0" w:line="360" w:lineRule="auto"/>
        <w:ind w:right="0" w:firstLine="709"/>
      </w:pPr>
      <w:r>
        <w:rPr>
          <w:lang w:val="uk-UA"/>
        </w:rPr>
        <w:t xml:space="preserve">Таблиця 5.2 – Оптимальні параметри мікроклімату в приміщенні з ЕОМ </w:t>
      </w:r>
    </w:p>
    <w:tbl>
      <w:tblPr>
        <w:tblStyle w:val="TableGrid"/>
        <w:tblW w:w="9432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6" w:type="dxa"/>
          <w:left w:w="101" w:type="dxa"/>
          <w:right w:w="65" w:type="dxa"/>
        </w:tblCellMar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680"/>
        <w:gridCol w:w="2093"/>
      </w:tblGrid>
      <w:tr w:rsidR="00397E96">
        <w:trPr>
          <w:trHeight w:val="112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Період року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Категорія робіт з важкості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Температура, </w:t>
            </w:r>
          </w:p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t, °C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Відносна вологість,%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Швидкість руху повітря, м/с, не більш </w:t>
            </w:r>
          </w:p>
        </w:tc>
      </w:tr>
      <w:tr w:rsidR="00397E96">
        <w:trPr>
          <w:trHeight w:val="49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Холодний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Легка </w:t>
            </w:r>
            <w:proofErr w:type="spellStart"/>
            <w:r>
              <w:rPr>
                <w:lang w:val="uk-UA"/>
              </w:rPr>
              <w:t>Іа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22–24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0,1 </w:t>
            </w:r>
          </w:p>
        </w:tc>
      </w:tr>
      <w:tr w:rsidR="00397E96">
        <w:trPr>
          <w:trHeight w:val="49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Теплий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Легка </w:t>
            </w:r>
            <w:proofErr w:type="spellStart"/>
            <w:r>
              <w:rPr>
                <w:lang w:val="uk-UA"/>
              </w:rPr>
              <w:t>Іа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23–25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0,1 </w:t>
            </w:r>
          </w:p>
        </w:tc>
      </w:tr>
    </w:tbl>
    <w:p w:rsidR="00397E96" w:rsidRDefault="0067596A">
      <w:pPr>
        <w:spacing w:after="0" w:line="360" w:lineRule="auto"/>
        <w:ind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Для створення необхідного мікроклімату у приміщеннях з ЕОМ, відповідно до вимог ДБН В.2.5.-67-2013 [21], у робочому приміщенні встановлені побутові кондиціонери, що автоматично підтримують необхідні оптимальні параметри температури, незалежно від зовнішніх</w:t>
      </w:r>
      <w:r>
        <w:rPr>
          <w:lang w:val="uk-UA"/>
        </w:rPr>
        <w:t xml:space="preserve"> умов, а також проводиться природне провітрювання приміщення.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Оптимальні параметри забезпечують збереження нормального теплового стану і функціонування організму без потреби до терморегуляції. Цим забезпечуються комфорт і створюються передумови для високо</w:t>
      </w:r>
      <w:r>
        <w:rPr>
          <w:lang w:val="uk-UA"/>
        </w:rPr>
        <w:t xml:space="preserve">го рівня працездатності.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У холодний період року проводиться опалення від центральної тепломережі. </w:t>
      </w:r>
    </w:p>
    <w:p w:rsidR="00397E96" w:rsidRDefault="0067596A">
      <w:pPr>
        <w:spacing w:after="0" w:line="360" w:lineRule="auto"/>
        <w:ind w:right="0" w:firstLine="709"/>
      </w:pPr>
      <w:r>
        <w:rPr>
          <w:lang w:val="uk-UA"/>
        </w:rPr>
        <w:t>Згідно з ДБН В.2.5.-28-2006 [22] та для об’єктів, які світяться, відповідно до розміру об’єкту розрізнення та характеристики зорової роботи визначені нормат</w:t>
      </w:r>
      <w:r>
        <w:rPr>
          <w:lang w:val="uk-UA"/>
        </w:rPr>
        <w:t xml:space="preserve">ивні характеристики зорової роботи та занесені до таблиці 5.3. </w:t>
      </w:r>
    </w:p>
    <w:p w:rsidR="00397E96" w:rsidRDefault="00397E96">
      <w:pPr>
        <w:spacing w:after="0" w:line="360" w:lineRule="auto"/>
        <w:ind w:right="0" w:firstLine="0"/>
        <w:jc w:val="left"/>
      </w:pPr>
    </w:p>
    <w:p w:rsidR="00397E96" w:rsidRDefault="0067596A">
      <w:pPr>
        <w:pStyle w:val="1"/>
        <w:numPr>
          <w:ilvl w:val="0"/>
          <w:numId w:val="0"/>
        </w:numPr>
        <w:spacing w:after="0" w:line="360" w:lineRule="auto"/>
        <w:ind w:right="0" w:firstLine="709"/>
      </w:pPr>
      <w:r>
        <w:rPr>
          <w:lang w:val="uk-UA"/>
        </w:rPr>
        <w:lastRenderedPageBreak/>
        <w:t xml:space="preserve">Таблиця 5.3 – Нормативні параметри освітлення для роботи ЕОМ </w:t>
      </w:r>
    </w:p>
    <w:tbl>
      <w:tblPr>
        <w:tblStyle w:val="TableGrid"/>
        <w:tblW w:w="9432" w:type="dxa"/>
        <w:tblInd w:w="-110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CellMar>
          <w:top w:w="16" w:type="dxa"/>
          <w:left w:w="103" w:type="dxa"/>
          <w:right w:w="41" w:type="dxa"/>
        </w:tblCellMar>
        <w:tblLook w:val="04A0" w:firstRow="1" w:lastRow="0" w:firstColumn="1" w:lastColumn="0" w:noHBand="0" w:noVBand="1"/>
      </w:tblPr>
      <w:tblGrid>
        <w:gridCol w:w="1226"/>
        <w:gridCol w:w="887"/>
        <w:gridCol w:w="690"/>
        <w:gridCol w:w="657"/>
        <w:gridCol w:w="1240"/>
        <w:gridCol w:w="1240"/>
        <w:gridCol w:w="1806"/>
        <w:gridCol w:w="1686"/>
      </w:tblGrid>
      <w:tr w:rsidR="00397E96">
        <w:trPr>
          <w:trHeight w:val="2760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Характеристика зорової роботи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Найменший розмір об’єкта розпізнавання</w:t>
            </w:r>
          </w:p>
        </w:tc>
        <w:tc>
          <w:tcPr>
            <w:tcW w:w="7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Розряд зорової роботи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Підрозряд</w:t>
            </w:r>
            <w:proofErr w:type="spellEnd"/>
            <w:r>
              <w:rPr>
                <w:lang w:val="uk-UA"/>
              </w:rPr>
              <w:t xml:space="preserve"> зорової роботи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Контраст </w:t>
            </w:r>
            <w:r>
              <w:rPr>
                <w:lang w:val="uk-UA"/>
              </w:rPr>
              <w:t>об’єкта розпізнавання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Характеристика фону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Освітленість при штучному освітленні, </w:t>
            </w:r>
            <w:proofErr w:type="spellStart"/>
            <w:r>
              <w:rPr>
                <w:lang w:val="uk-UA"/>
              </w:rPr>
              <w:t>лк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КПО, </w:t>
            </w:r>
            <w:proofErr w:type="spellStart"/>
            <w:r>
              <w:rPr>
                <w:lang w:val="uk-UA"/>
              </w:rPr>
              <w:t>е</w:t>
            </w:r>
            <w:r>
              <w:rPr>
                <w:vertAlign w:val="subscript"/>
                <w:lang w:val="uk-UA"/>
              </w:rPr>
              <w:t>н</w:t>
            </w:r>
            <w:proofErr w:type="spellEnd"/>
            <w:r>
              <w:rPr>
                <w:lang w:val="uk-UA"/>
              </w:rPr>
              <w:t xml:space="preserve">, при суміщеному освітленні,% </w:t>
            </w:r>
          </w:p>
        </w:tc>
      </w:tr>
      <w:tr w:rsidR="00397E96">
        <w:trPr>
          <w:trHeight w:val="581"/>
        </w:trPr>
        <w:tc>
          <w:tcPr>
            <w:tcW w:w="1242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97E96" w:rsidRDefault="00397E96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97E96" w:rsidRDefault="00397E96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748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97E96" w:rsidRDefault="00397E96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97E96" w:rsidRDefault="00397E96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97E96" w:rsidRDefault="00397E96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97E96" w:rsidRDefault="00397E96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загальному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боковому </w:t>
            </w:r>
          </w:p>
        </w:tc>
      </w:tr>
      <w:tr w:rsidR="00397E96">
        <w:trPr>
          <w:trHeight w:val="1133"/>
        </w:trPr>
        <w:tc>
          <w:tcPr>
            <w:tcW w:w="12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Дуже високої точності </w:t>
            </w:r>
          </w:p>
        </w:tc>
        <w:tc>
          <w:tcPr>
            <w:tcW w:w="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Від </w:t>
            </w:r>
          </w:p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0,15 до 0,3 </w:t>
            </w:r>
          </w:p>
        </w:tc>
        <w:tc>
          <w:tcPr>
            <w:tcW w:w="7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ІІ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 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Середній 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Середній 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500 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E96" w:rsidRDefault="0067596A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1,5 </w:t>
            </w:r>
          </w:p>
        </w:tc>
      </w:tr>
    </w:tbl>
    <w:p w:rsidR="00397E96" w:rsidRDefault="00397E96">
      <w:pPr>
        <w:spacing w:after="0" w:line="360" w:lineRule="auto"/>
        <w:ind w:right="0" w:firstLine="709"/>
        <w:jc w:val="left"/>
        <w:rPr>
          <w:lang w:val="uk-UA"/>
        </w:rPr>
      </w:pP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В приміщенні, що розглядається, застосовують суміщене освітлення – освітлення, при якому недостатнє за нормами природне освітлення доповнюється штучним. Мінімальна освітленість при цьому складає 500 </w:t>
      </w:r>
      <w:proofErr w:type="spellStart"/>
      <w:r>
        <w:rPr>
          <w:lang w:val="uk-UA"/>
        </w:rPr>
        <w:t>лк</w:t>
      </w:r>
      <w:proofErr w:type="spellEnd"/>
      <w:r>
        <w:rPr>
          <w:lang w:val="uk-UA"/>
        </w:rPr>
        <w:t>. Штучне освітлення реалізується шляхом встановлення ви</w:t>
      </w:r>
      <w:r>
        <w:rPr>
          <w:lang w:val="uk-UA"/>
        </w:rPr>
        <w:t xml:space="preserve">значеної кількості ламп білого світла – ЛБ 80.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Електромагнітне випромінювання шкідливо впливає на здоров’я людини. Згідно НПАОП 0.00-1.28-2010, потужність поглиненої дози в повітрі за рахунок супутнього не використаного рентгенівського випромінювання не п</w:t>
      </w:r>
      <w:r>
        <w:rPr>
          <w:lang w:val="uk-UA"/>
        </w:rPr>
        <w:t xml:space="preserve">овинна перевищувати 100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w:proofErr w:type="spellStart"/>
            <m:r>
              <m:rPr>
                <m:lit/>
                <m:nor/>
              </m:rPr>
              <w:rPr>
                <w:rFonts w:ascii="Cambria Math" w:hAnsi="Cambria Math"/>
              </w:rPr>
              <m:t>мР</m:t>
            </m:r>
            <w:proofErr w:type="spellEnd"/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год</m:t>
            </m:r>
          </m:den>
        </m:f>
      </m:oMath>
      <w:r>
        <w:rPr>
          <w:lang w:val="uk-UA"/>
        </w:rPr>
        <w:t xml:space="preserve"> на відстані 5 см від поверхні пристрою, під час роботи якого воно виникає. Забезпечення захисту оператора та досягнення нормованих рівнів </w:t>
      </w:r>
      <w:proofErr w:type="spellStart"/>
      <w:r>
        <w:rPr>
          <w:lang w:val="uk-UA"/>
        </w:rPr>
        <w:t>випромінювань</w:t>
      </w:r>
      <w:proofErr w:type="spellEnd"/>
      <w:r>
        <w:rPr>
          <w:lang w:val="uk-UA"/>
        </w:rPr>
        <w:t xml:space="preserve"> ЕОМ рекомендовано застосування екранних фільтрів, локальних світлофорів та</w:t>
      </w:r>
      <w:r>
        <w:rPr>
          <w:lang w:val="uk-UA"/>
        </w:rPr>
        <w:t xml:space="preserve"> інших засобів захисту, які пройшли випробування в акредитованих лабораторіях  та отримали позитивний висновок державної санітарно-епідеміологічної експертизи.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Основними принципами захисту від впливу ЕМВ є: </w:t>
      </w:r>
    </w:p>
    <w:p w:rsidR="00397E96" w:rsidRDefault="0067596A">
      <w:pPr>
        <w:numPr>
          <w:ilvl w:val="0"/>
          <w:numId w:val="3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тривалість роботи за ЕОМ не повинна перевищувати 4 години на день при цьому виконувати перерви через кожні 2 години роботи; </w:t>
      </w:r>
    </w:p>
    <w:p w:rsidR="00397E96" w:rsidRDefault="0067596A">
      <w:pPr>
        <w:numPr>
          <w:ilvl w:val="0"/>
          <w:numId w:val="3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lastRenderedPageBreak/>
        <w:t>на одну ЕОМ повинно бути виділено не менше 6м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, відстань між сусідніми ЕОМ – 1,5м; </w:t>
      </w:r>
    </w:p>
    <w:p w:rsidR="00397E96" w:rsidRDefault="0067596A">
      <w:pPr>
        <w:numPr>
          <w:ilvl w:val="0"/>
          <w:numId w:val="3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>внутрішнє екранування, що дозволяє суттєво зниз</w:t>
      </w:r>
      <w:r>
        <w:rPr>
          <w:lang w:val="uk-UA"/>
        </w:rPr>
        <w:t xml:space="preserve">ити інтенсивність шкідливого опромінювання; </w:t>
      </w:r>
    </w:p>
    <w:p w:rsidR="00397E96" w:rsidRDefault="0067596A">
      <w:pPr>
        <w:numPr>
          <w:ilvl w:val="0"/>
          <w:numId w:val="3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для попередження, своєчасної діагностики та лікування здоров’я людини, що пов’язано з негативним впливом ЕОМ, користувачі повинні проходити попередні (під час прийому на роботу) і періодичні медичні огляди.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Шум</w:t>
      </w:r>
      <w:r>
        <w:rPr>
          <w:lang w:val="uk-UA"/>
        </w:rPr>
        <w:t xml:space="preserve"> є одним з найбільш розповсюджених у виробництві шкідливих факторів. Основними джерелами шуму і вібрації є вентилятори системного блоку, накопичувач, розташовані в системному блоці комп’ютера, і принтер. Це може стати джерелом стресу і дискомфорту користув</w:t>
      </w:r>
      <w:r>
        <w:rPr>
          <w:lang w:val="uk-UA"/>
        </w:rPr>
        <w:t xml:space="preserve">ача, знижувати розумову працездатність, підвищувати втомлюваність, послаблювати увагу, сприяти появі головного болю тощо. Відповідно до ДСН 3.3.6. 037-99 [23] робочі місця у приміщеннях програмістів обчислювальних машин рівень шуму не повинен перевищувати </w:t>
      </w:r>
      <w:r>
        <w:rPr>
          <w:lang w:val="uk-UA"/>
        </w:rPr>
        <w:t xml:space="preserve">50 дБА. Відповідно до ДСН 3.3.6. 039-99 [24] рівень загальної вібрації для категорії 3, технологічного типу «в» не повинен перевищувати 75 </w:t>
      </w:r>
      <w:proofErr w:type="spellStart"/>
      <w:r>
        <w:rPr>
          <w:lang w:val="uk-UA"/>
        </w:rPr>
        <w:t>дБ</w:t>
      </w:r>
      <w:proofErr w:type="spellEnd"/>
      <w:r>
        <w:rPr>
          <w:lang w:val="uk-UA"/>
        </w:rPr>
        <w:t xml:space="preserve">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Як захист від шуму, який створюється вентиляторами системних блоків, використовується наступне: </w:t>
      </w:r>
    </w:p>
    <w:p w:rsidR="00397E96" w:rsidRDefault="0067596A">
      <w:pPr>
        <w:numPr>
          <w:ilvl w:val="0"/>
          <w:numId w:val="2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>звукоізоляційни</w:t>
      </w:r>
      <w:r>
        <w:rPr>
          <w:lang w:val="uk-UA"/>
        </w:rPr>
        <w:t xml:space="preserve">й корпус; </w:t>
      </w:r>
    </w:p>
    <w:p w:rsidR="00397E96" w:rsidRDefault="0067596A">
      <w:pPr>
        <w:numPr>
          <w:ilvl w:val="0"/>
          <w:numId w:val="2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заміна вентилятора на більш якісний; </w:t>
      </w:r>
    </w:p>
    <w:p w:rsidR="00397E96" w:rsidRDefault="0067596A">
      <w:pPr>
        <w:numPr>
          <w:ilvl w:val="0"/>
          <w:numId w:val="2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використання </w:t>
      </w:r>
      <w:proofErr w:type="spellStart"/>
      <w:r>
        <w:rPr>
          <w:lang w:val="uk-UA"/>
        </w:rPr>
        <w:t>звукопоглинаючих</w:t>
      </w:r>
      <w:proofErr w:type="spellEnd"/>
      <w:r>
        <w:rPr>
          <w:lang w:val="uk-UA"/>
        </w:rPr>
        <w:t xml:space="preserve"> та звукоізолюючих засобів; </w:t>
      </w:r>
    </w:p>
    <w:p w:rsidR="00397E96" w:rsidRDefault="0067596A">
      <w:pPr>
        <w:numPr>
          <w:ilvl w:val="0"/>
          <w:numId w:val="2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мідні радіатори як альтернативу вентилятору; </w:t>
      </w:r>
    </w:p>
    <w:p w:rsidR="00397E96" w:rsidRDefault="0067596A">
      <w:pPr>
        <w:numPr>
          <w:ilvl w:val="0"/>
          <w:numId w:val="2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при монтажі </w:t>
      </w:r>
      <w:proofErr w:type="spellStart"/>
      <w:r>
        <w:rPr>
          <w:lang w:val="uk-UA"/>
        </w:rPr>
        <w:t>кулерів</w:t>
      </w:r>
      <w:proofErr w:type="spellEnd"/>
      <w:r>
        <w:rPr>
          <w:lang w:val="uk-UA"/>
        </w:rPr>
        <w:t xml:space="preserve"> замість гвинтів встановлювати гумові пробки, що дозволяють ізолювати вентилятор від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корпуса</w:t>
      </w:r>
      <w:proofErr w:type="spellEnd"/>
      <w:r>
        <w:rPr>
          <w:lang w:val="uk-UA"/>
        </w:rPr>
        <w:t xml:space="preserve">. </w:t>
      </w:r>
    </w:p>
    <w:p w:rsidR="00397E96" w:rsidRDefault="00397E96">
      <w:pPr>
        <w:spacing w:after="0" w:line="360" w:lineRule="auto"/>
        <w:ind w:right="0" w:firstLine="709"/>
        <w:jc w:val="left"/>
        <w:rPr>
          <w:lang w:val="uk-UA"/>
        </w:rPr>
      </w:pPr>
    </w:p>
    <w:p w:rsidR="00397E96" w:rsidRDefault="00737CD1" w:rsidP="00737CD1">
      <w:pPr>
        <w:pStyle w:val="2"/>
        <w:numPr>
          <w:ilvl w:val="0"/>
          <w:numId w:val="0"/>
        </w:numPr>
        <w:spacing w:after="0" w:line="360" w:lineRule="auto"/>
        <w:ind w:firstLine="708"/>
        <w:rPr>
          <w:highlight w:val="yellow"/>
        </w:rPr>
      </w:pPr>
      <w:r>
        <w:rPr>
          <w:b w:val="0"/>
          <w:lang w:val="uk-UA"/>
        </w:rPr>
        <w:t>5.4</w:t>
      </w:r>
      <w:r w:rsidR="0067596A">
        <w:rPr>
          <w:b w:val="0"/>
          <w:lang w:val="uk-UA"/>
        </w:rPr>
        <w:t xml:space="preserve"> Заходи безпеки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Сучасне виробництво нерозривно пов’язане з використанням електроенергії. При виконанні роботи використовувався комп’ютер, який </w:t>
      </w:r>
      <w:r>
        <w:rPr>
          <w:lang w:val="uk-UA"/>
        </w:rPr>
        <w:lastRenderedPageBreak/>
        <w:t xml:space="preserve">живиться з напругою 220В від однієї фази 3-хфазної 4-хфазної мережі з </w:t>
      </w:r>
      <w:proofErr w:type="spellStart"/>
      <w:r>
        <w:rPr>
          <w:lang w:val="uk-UA"/>
        </w:rPr>
        <w:t>глухозаземленою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</w:t>
      </w:r>
      <w:r>
        <w:rPr>
          <w:lang w:val="uk-UA"/>
        </w:rPr>
        <w:t>ейтраллю</w:t>
      </w:r>
      <w:proofErr w:type="spellEnd"/>
      <w:r>
        <w:rPr>
          <w:lang w:val="uk-UA"/>
        </w:rPr>
        <w:t xml:space="preserve">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Основними заходами захисту від ураження електричним струмом згідно з НПАОП 40.1-1.32-01 [25] є: </w:t>
      </w:r>
    </w:p>
    <w:p w:rsidR="00397E96" w:rsidRDefault="0067596A">
      <w:pPr>
        <w:numPr>
          <w:ilvl w:val="0"/>
          <w:numId w:val="6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забезпечення недоступності струмопровідних частин, що перебувають під напругою, для випадкового дотику; </w:t>
      </w:r>
    </w:p>
    <w:p w:rsidR="00397E96" w:rsidRDefault="0067596A">
      <w:pPr>
        <w:numPr>
          <w:ilvl w:val="0"/>
          <w:numId w:val="6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>організація безпечної експлуатації електроу</w:t>
      </w:r>
      <w:r>
        <w:rPr>
          <w:lang w:val="uk-UA"/>
        </w:rPr>
        <w:t xml:space="preserve">становок; </w:t>
      </w:r>
    </w:p>
    <w:p w:rsidR="00397E96" w:rsidRDefault="0067596A">
      <w:pPr>
        <w:numPr>
          <w:ilvl w:val="0"/>
          <w:numId w:val="6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компенсація ємнісної складової струму замикання на землю; </w:t>
      </w:r>
    </w:p>
    <w:p w:rsidR="00397E96" w:rsidRDefault="0067596A">
      <w:pPr>
        <w:numPr>
          <w:ilvl w:val="0"/>
          <w:numId w:val="6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застосування спеціальних засобів – переносних приладів і запобіжних пристроїв; </w:t>
      </w:r>
    </w:p>
    <w:p w:rsidR="00397E96" w:rsidRDefault="0067596A">
      <w:pPr>
        <w:numPr>
          <w:ilvl w:val="0"/>
          <w:numId w:val="6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відключення електроустаткування, що ремонтується, і вживання заходів проти помилкового його зворотного включення або само включення; </w:t>
      </w:r>
    </w:p>
    <w:p w:rsidR="00397E96" w:rsidRDefault="0067596A">
      <w:pPr>
        <w:numPr>
          <w:ilvl w:val="0"/>
          <w:numId w:val="6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приєднання переносного заземлення - </w:t>
      </w:r>
      <w:proofErr w:type="spellStart"/>
      <w:r>
        <w:rPr>
          <w:lang w:val="uk-UA"/>
        </w:rPr>
        <w:t>закоротки</w:t>
      </w:r>
      <w:proofErr w:type="spellEnd"/>
      <w:r>
        <w:rPr>
          <w:lang w:val="uk-UA"/>
        </w:rPr>
        <w:t xml:space="preserve"> до заземлювальної шини стаціонарного заземлювального пристрою і перевірка відсутності напруги на струмопровідних частинах, що для безпеки проведення робіт підлягають замиканню закоротко і заземленню.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Головне п</w:t>
      </w:r>
      <w:r>
        <w:rPr>
          <w:lang w:val="uk-UA"/>
        </w:rPr>
        <w:t xml:space="preserve">ризначення захисного заземлення – знизити потенціал на корпусі електроустаткування до безпечного значення.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Для захисту від ураження електричним струмом для ЕОМ застосовується занулення – це навмисне електричне з’єднання з нульовим захисним провідником мет</w:t>
      </w:r>
      <w:r>
        <w:rPr>
          <w:lang w:val="uk-UA"/>
        </w:rPr>
        <w:t xml:space="preserve">алевих не струмоведучих частин електроустановки, які можуть опинитися під напругою. </w:t>
      </w:r>
    </w:p>
    <w:p w:rsidR="00397E96" w:rsidRDefault="0067596A">
      <w:pPr>
        <w:spacing w:after="0" w:line="360" w:lineRule="auto"/>
        <w:ind w:right="0" w:firstLine="709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 w:rsidR="00397E96" w:rsidRDefault="00737CD1" w:rsidP="00737CD1">
      <w:pPr>
        <w:pStyle w:val="2"/>
        <w:numPr>
          <w:ilvl w:val="0"/>
          <w:numId w:val="0"/>
        </w:numPr>
        <w:spacing w:after="0" w:line="360" w:lineRule="auto"/>
        <w:ind w:firstLine="708"/>
      </w:pPr>
      <w:r>
        <w:rPr>
          <w:b w:val="0"/>
          <w:lang w:val="uk-UA"/>
        </w:rPr>
        <w:t>5.5</w:t>
      </w:r>
      <w:r w:rsidR="0067596A">
        <w:rPr>
          <w:b w:val="0"/>
          <w:lang w:val="uk-UA"/>
        </w:rPr>
        <w:t xml:space="preserve"> Пожежна безпека </w:t>
      </w:r>
    </w:p>
    <w:p w:rsidR="00397E96" w:rsidRDefault="0067596A">
      <w:pPr>
        <w:spacing w:after="0" w:line="360" w:lineRule="auto"/>
        <w:ind w:right="0" w:firstLine="709"/>
      </w:pPr>
      <w:r>
        <w:rPr>
          <w:lang w:val="uk-UA"/>
        </w:rPr>
        <w:t>По категорії вибухові та пожежа небезпеки, згідно ДСТУ Б.В.1.136:2016 [26] дане приміщення відноситься до категорії В пожежонебезпечні че</w:t>
      </w:r>
      <w:r>
        <w:rPr>
          <w:lang w:val="uk-UA"/>
        </w:rPr>
        <w:t>рез присутність твердих спалених матеріалів, таких як: робочі столи, ізоляція, папір та інше, ступень вогнестійкості ІІ, згідно ДБН В.1.1-7:2016 [27] .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lastRenderedPageBreak/>
        <w:t xml:space="preserve">Пожежі на промислових підприємствах виникають у більшості випадків від </w:t>
      </w:r>
      <w:proofErr w:type="spellStart"/>
      <w:r>
        <w:rPr>
          <w:lang w:val="uk-UA"/>
        </w:rPr>
        <w:t>несправностей</w:t>
      </w:r>
      <w:proofErr w:type="spellEnd"/>
      <w:r>
        <w:rPr>
          <w:lang w:val="uk-UA"/>
        </w:rPr>
        <w:t xml:space="preserve"> технологічного обла</w:t>
      </w:r>
      <w:r>
        <w:rPr>
          <w:lang w:val="uk-UA"/>
        </w:rPr>
        <w:t xml:space="preserve">днання, електроустаткування, контрольно-вимірювальних та захисних приладів, необережного поводження з вогнем та порушення правил пожежної безпеки обслуговуючим персоналом.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Згідно з вимогами ДБН В.2.5-56-2015 [28] пожежна безпека забезпечується наступними </w:t>
      </w:r>
      <w:r>
        <w:rPr>
          <w:lang w:val="uk-UA"/>
        </w:rPr>
        <w:t xml:space="preserve">мірами: </w:t>
      </w:r>
    </w:p>
    <w:p w:rsidR="00397E96" w:rsidRDefault="0067596A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системою запобігання пожеж; </w:t>
      </w:r>
    </w:p>
    <w:p w:rsidR="00397E96" w:rsidRDefault="0067596A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системою протипожежного захисту; </w:t>
      </w:r>
    </w:p>
    <w:p w:rsidR="00397E96" w:rsidRDefault="0067596A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організаційними заходами щодо пожежної безпеки.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>Система запобігання пожеж передбачає запобігання утворення пального середовища і запобігання утворення в пальному середовищі джерел зап</w:t>
      </w:r>
      <w:r>
        <w:rPr>
          <w:lang w:val="uk-UA"/>
        </w:rPr>
        <w:t xml:space="preserve">алювання.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Коли від пожежі захищаються приміщення з ЕОМ, то їх рекомендується оснащувати вуглекислотними вогнегасниками. Вогнегасник знаходиться на видному і легко доступному місці. Відстань від можливого осередку пожежі до місця розташування вогнегасника </w:t>
      </w:r>
      <w:r>
        <w:rPr>
          <w:lang w:val="uk-UA"/>
        </w:rPr>
        <w:t xml:space="preserve">має бути не більше ніж 30м. також необхідним заходом безпеки є евакуаційні виходи (не менше двох). </w:t>
      </w:r>
    </w:p>
    <w:p w:rsidR="00397E96" w:rsidRDefault="0067596A">
      <w:p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t xml:space="preserve">Організаційними заходами протипожежної профілактики є: </w:t>
      </w:r>
    </w:p>
    <w:p w:rsidR="00397E96" w:rsidRDefault="0067596A">
      <w:pPr>
        <w:numPr>
          <w:ilvl w:val="0"/>
          <w:numId w:val="7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вступний інструктаж при надходженні на роботу; </w:t>
      </w:r>
    </w:p>
    <w:p w:rsidR="00397E96" w:rsidRDefault="0067596A">
      <w:pPr>
        <w:numPr>
          <w:ilvl w:val="0"/>
          <w:numId w:val="7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навчання виробничого персоналу протипожежним правилам; </w:t>
      </w:r>
    </w:p>
    <w:p w:rsidR="00397E96" w:rsidRDefault="0067596A">
      <w:pPr>
        <w:numPr>
          <w:ilvl w:val="0"/>
          <w:numId w:val="7"/>
        </w:numPr>
        <w:spacing w:after="0" w:line="360" w:lineRule="auto"/>
        <w:ind w:right="0"/>
        <w:rPr>
          <w:lang w:val="uk-UA"/>
        </w:rPr>
      </w:pPr>
      <w:r>
        <w:rPr>
          <w:lang w:val="uk-UA"/>
        </w:rPr>
        <w:t xml:space="preserve">видання необхідних інструкцій і плакатів; </w:t>
      </w:r>
    </w:p>
    <w:p w:rsidR="00737CD1" w:rsidRPr="00737CD1" w:rsidRDefault="0067596A" w:rsidP="00737CD1">
      <w:pPr>
        <w:numPr>
          <w:ilvl w:val="0"/>
          <w:numId w:val="7"/>
        </w:numPr>
        <w:spacing w:after="0" w:line="360" w:lineRule="auto"/>
        <w:ind w:right="0"/>
      </w:pPr>
      <w:r>
        <w:rPr>
          <w:lang w:val="uk-UA"/>
        </w:rPr>
        <w:t xml:space="preserve">наявність плану евакуації. </w:t>
      </w:r>
    </w:p>
    <w:p w:rsidR="00737CD1" w:rsidRDefault="00737CD1" w:rsidP="00737CD1">
      <w:pPr>
        <w:spacing w:after="0" w:line="360" w:lineRule="auto"/>
        <w:ind w:left="709" w:right="0" w:firstLine="0"/>
        <w:rPr>
          <w:lang w:val="uk-UA"/>
        </w:rPr>
      </w:pPr>
    </w:p>
    <w:p w:rsidR="00737CD1" w:rsidRDefault="00737CD1" w:rsidP="00737CD1">
      <w:pPr>
        <w:spacing w:after="0" w:line="360" w:lineRule="auto"/>
        <w:ind w:left="709" w:right="0" w:firstLine="0"/>
        <w:rPr>
          <w:lang w:val="uk-UA"/>
        </w:rPr>
      </w:pPr>
      <w:r>
        <w:rPr>
          <w:lang w:val="uk-UA"/>
        </w:rPr>
        <w:t>5.6 Індивідуальне завдання</w:t>
      </w:r>
    </w:p>
    <w:p w:rsidR="00737CD1" w:rsidRPr="00737CD1" w:rsidRDefault="00737CD1" w:rsidP="00737CD1">
      <w:pPr>
        <w:spacing w:after="0" w:line="360" w:lineRule="auto"/>
        <w:ind w:right="0" w:firstLine="0"/>
        <w:jc w:val="center"/>
        <w:rPr>
          <w:color w:val="auto"/>
          <w:szCs w:val="20"/>
          <w:lang w:val="uk-UA"/>
        </w:rPr>
      </w:pPr>
      <w:r w:rsidRPr="00737CD1">
        <w:rPr>
          <w:color w:val="auto"/>
          <w:szCs w:val="20"/>
          <w:lang w:val="uk-UA"/>
        </w:rPr>
        <w:t xml:space="preserve">Розрахунок занулення на </w:t>
      </w:r>
      <w:proofErr w:type="spellStart"/>
      <w:r w:rsidRPr="00737CD1">
        <w:rPr>
          <w:color w:val="auto"/>
          <w:szCs w:val="20"/>
          <w:lang w:val="uk-UA"/>
        </w:rPr>
        <w:t>вимикаючу</w:t>
      </w:r>
      <w:proofErr w:type="spellEnd"/>
      <w:r w:rsidRPr="00737CD1">
        <w:rPr>
          <w:color w:val="auto"/>
          <w:szCs w:val="20"/>
          <w:lang w:val="uk-UA"/>
        </w:rPr>
        <w:t xml:space="preserve"> здатність</w:t>
      </w:r>
    </w:p>
    <w:p w:rsidR="00737CD1" w:rsidRPr="00737CD1" w:rsidRDefault="00737CD1" w:rsidP="00737CD1">
      <w:pPr>
        <w:spacing w:after="0" w:line="240" w:lineRule="auto"/>
        <w:ind w:right="0" w:firstLine="0"/>
        <w:jc w:val="left"/>
        <w:rPr>
          <w:color w:val="auto"/>
          <w:sz w:val="20"/>
          <w:szCs w:val="20"/>
          <w:lang w:val="uk-UA"/>
        </w:rPr>
      </w:pPr>
    </w:p>
    <w:tbl>
      <w:tblPr>
        <w:tblpPr w:leftFromText="180" w:rightFromText="180" w:vertAnchor="text" w:horzAnchor="margin" w:tblpX="421" w:tblpY="-15"/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08"/>
        <w:gridCol w:w="709"/>
        <w:gridCol w:w="742"/>
        <w:gridCol w:w="851"/>
        <w:gridCol w:w="1701"/>
        <w:gridCol w:w="1134"/>
        <w:gridCol w:w="992"/>
        <w:gridCol w:w="1843"/>
      </w:tblGrid>
      <w:tr w:rsidR="00737CD1" w:rsidRPr="00737CD1" w:rsidTr="00423010">
        <w:trPr>
          <w:cantSplit/>
          <w:trHeight w:val="261"/>
        </w:trPr>
        <w:tc>
          <w:tcPr>
            <w:tcW w:w="421" w:type="dxa"/>
            <w:vMerge w:val="restart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lastRenderedPageBreak/>
              <w:t>№</w:t>
            </w:r>
          </w:p>
        </w:tc>
        <w:tc>
          <w:tcPr>
            <w:tcW w:w="2159" w:type="dxa"/>
            <w:gridSpan w:val="3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Силове навантаження</w:t>
            </w:r>
          </w:p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b/>
                <w:i/>
                <w:color w:val="auto"/>
                <w:sz w:val="18"/>
                <w:szCs w:val="20"/>
                <w:lang w:val="uk-UA"/>
              </w:rPr>
              <w:t>n</w:t>
            </w:r>
            <w:r w:rsidRPr="00737CD1">
              <w:rPr>
                <w:color w:val="auto"/>
                <w:sz w:val="18"/>
                <w:szCs w:val="20"/>
                <w:lang w:val="uk-UA"/>
              </w:rPr>
              <w:t xml:space="preserve"> х </w:t>
            </w:r>
            <w:r w:rsidRPr="00737CD1">
              <w:rPr>
                <w:b/>
                <w:i/>
                <w:color w:val="auto"/>
                <w:sz w:val="18"/>
                <w:szCs w:val="20"/>
                <w:lang w:val="uk-UA"/>
              </w:rPr>
              <w:t>Р</w:t>
            </w:r>
            <w:r w:rsidRPr="00737CD1">
              <w:rPr>
                <w:i/>
                <w:color w:val="auto"/>
                <w:sz w:val="18"/>
                <w:szCs w:val="20"/>
                <w:lang w:val="uk-UA"/>
              </w:rPr>
              <w:t>,</w:t>
            </w:r>
            <w:r w:rsidRPr="00737CD1">
              <w:rPr>
                <w:color w:val="auto"/>
                <w:sz w:val="18"/>
                <w:szCs w:val="20"/>
                <w:lang w:val="uk-UA"/>
              </w:rPr>
              <w:t xml:space="preserve"> кВт</w:t>
            </w:r>
          </w:p>
        </w:tc>
        <w:tc>
          <w:tcPr>
            <w:tcW w:w="2552" w:type="dxa"/>
            <w:gridSpan w:val="2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Освітлювальне навантаження</w:t>
            </w:r>
          </w:p>
        </w:tc>
        <w:tc>
          <w:tcPr>
            <w:tcW w:w="3969" w:type="dxa"/>
            <w:gridSpan w:val="3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Трансформатор</w:t>
            </w:r>
          </w:p>
        </w:tc>
      </w:tr>
      <w:tr w:rsidR="00737CD1" w:rsidRPr="00737CD1" w:rsidTr="00423010">
        <w:trPr>
          <w:cantSplit/>
          <w:trHeight w:val="411"/>
        </w:trPr>
        <w:tc>
          <w:tcPr>
            <w:tcW w:w="421" w:type="dxa"/>
            <w:vMerge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ЕД –1</w:t>
            </w:r>
          </w:p>
        </w:tc>
        <w:tc>
          <w:tcPr>
            <w:tcW w:w="709" w:type="dxa"/>
            <w:vMerge w:val="restart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ЕД –2</w:t>
            </w:r>
          </w:p>
        </w:tc>
        <w:tc>
          <w:tcPr>
            <w:tcW w:w="742" w:type="dxa"/>
            <w:vMerge w:val="restart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К</w:t>
            </w:r>
            <w:r w:rsidRPr="00737CD1">
              <w:rPr>
                <w:color w:val="auto"/>
                <w:sz w:val="18"/>
                <w:szCs w:val="20"/>
                <w:vertAlign w:val="subscript"/>
                <w:lang w:val="uk-UA"/>
              </w:rPr>
              <w:t>З</w:t>
            </w:r>
          </w:p>
        </w:tc>
        <w:tc>
          <w:tcPr>
            <w:tcW w:w="851" w:type="dxa"/>
            <w:vMerge w:val="restart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Р</w:t>
            </w:r>
            <w:r w:rsidRPr="00737CD1">
              <w:rPr>
                <w:color w:val="auto"/>
                <w:sz w:val="18"/>
                <w:szCs w:val="20"/>
                <w:vertAlign w:val="subscript"/>
                <w:lang w:val="uk-UA"/>
              </w:rPr>
              <w:t>ОСВ</w:t>
            </w:r>
            <w:r w:rsidRPr="00737CD1">
              <w:rPr>
                <w:color w:val="auto"/>
                <w:sz w:val="18"/>
                <w:szCs w:val="20"/>
                <w:lang w:val="uk-UA"/>
              </w:rPr>
              <w:t xml:space="preserve"> кВт</w:t>
            </w:r>
          </w:p>
        </w:tc>
        <w:tc>
          <w:tcPr>
            <w:tcW w:w="1701" w:type="dxa"/>
            <w:vMerge w:val="restart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proofErr w:type="spellStart"/>
            <w:r w:rsidRPr="00737CD1">
              <w:rPr>
                <w:color w:val="auto"/>
                <w:sz w:val="18"/>
                <w:szCs w:val="20"/>
                <w:lang w:val="uk-UA"/>
              </w:rPr>
              <w:t>соs</w:t>
            </w:r>
            <w:proofErr w:type="spellEnd"/>
            <w:r w:rsidRPr="00737CD1">
              <w:rPr>
                <w:color w:val="auto"/>
                <w:sz w:val="18"/>
                <w:szCs w:val="20"/>
                <w:lang w:val="uk-UA"/>
              </w:rPr>
              <w:sym w:font="Symbol" w:char="F06A"/>
            </w:r>
          </w:p>
        </w:tc>
        <w:tc>
          <w:tcPr>
            <w:tcW w:w="1134" w:type="dxa"/>
            <w:vMerge w:val="restart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Тип</w:t>
            </w:r>
          </w:p>
        </w:tc>
        <w:tc>
          <w:tcPr>
            <w:tcW w:w="992" w:type="dxa"/>
            <w:vMerge w:val="restart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U</w:t>
            </w:r>
            <w:r w:rsidRPr="00737CD1">
              <w:rPr>
                <w:color w:val="auto"/>
                <w:sz w:val="18"/>
                <w:szCs w:val="20"/>
                <w:vertAlign w:val="subscript"/>
                <w:lang w:val="uk-UA"/>
              </w:rPr>
              <w:t>1</w:t>
            </w:r>
            <w:r w:rsidRPr="00737CD1">
              <w:rPr>
                <w:color w:val="auto"/>
                <w:sz w:val="18"/>
                <w:szCs w:val="20"/>
                <w:lang w:val="uk-UA"/>
              </w:rPr>
              <w:t>/U</w:t>
            </w:r>
            <w:r w:rsidRPr="00737CD1">
              <w:rPr>
                <w:color w:val="auto"/>
                <w:sz w:val="18"/>
                <w:szCs w:val="20"/>
                <w:vertAlign w:val="subscript"/>
                <w:lang w:val="uk-UA"/>
              </w:rPr>
              <w:t>2</w:t>
            </w:r>
            <w:r w:rsidRPr="00737CD1">
              <w:rPr>
                <w:color w:val="auto"/>
                <w:sz w:val="18"/>
                <w:szCs w:val="20"/>
                <w:lang w:val="uk-UA"/>
              </w:rPr>
              <w:t>, кВт</w:t>
            </w:r>
          </w:p>
        </w:tc>
        <w:tc>
          <w:tcPr>
            <w:tcW w:w="1843" w:type="dxa"/>
            <w:vMerge w:val="restart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left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 xml:space="preserve">Схема </w:t>
            </w:r>
            <w:proofErr w:type="spellStart"/>
            <w:r w:rsidRPr="00737CD1">
              <w:rPr>
                <w:color w:val="auto"/>
                <w:sz w:val="18"/>
                <w:szCs w:val="20"/>
                <w:lang w:val="uk-UA"/>
              </w:rPr>
              <w:t>з’єдн</w:t>
            </w:r>
            <w:proofErr w:type="spellEnd"/>
            <w:r w:rsidRPr="00737CD1">
              <w:rPr>
                <w:color w:val="auto"/>
                <w:sz w:val="18"/>
                <w:szCs w:val="20"/>
                <w:lang w:val="uk-UA"/>
              </w:rPr>
              <w:t>. обмоток</w:t>
            </w:r>
          </w:p>
        </w:tc>
      </w:tr>
      <w:tr w:rsidR="00737CD1" w:rsidRPr="00737CD1" w:rsidTr="00423010">
        <w:trPr>
          <w:cantSplit/>
          <w:trHeight w:val="486"/>
        </w:trPr>
        <w:tc>
          <w:tcPr>
            <w:tcW w:w="421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  <w:tc>
          <w:tcPr>
            <w:tcW w:w="742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</w:p>
        </w:tc>
      </w:tr>
      <w:tr w:rsidR="00737CD1" w:rsidRPr="00737CD1" w:rsidTr="00423010">
        <w:tc>
          <w:tcPr>
            <w:tcW w:w="421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20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left="-108"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2 х 5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left="-108"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3 х 45</w:t>
            </w:r>
          </w:p>
        </w:tc>
        <w:tc>
          <w:tcPr>
            <w:tcW w:w="742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0,86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83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0,87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М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>100/ 0,4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18"/>
                <w:szCs w:val="20"/>
                <w:lang w:val="uk-UA"/>
              </w:rPr>
            </w:pPr>
            <w:r w:rsidRPr="00737CD1">
              <w:rPr>
                <w:color w:val="auto"/>
                <w:sz w:val="18"/>
                <w:szCs w:val="20"/>
                <w:lang w:val="uk-UA"/>
              </w:rPr>
              <w:t xml:space="preserve">Δ/ </w:t>
            </w:r>
            <w:proofErr w:type="spellStart"/>
            <w:r w:rsidRPr="00737CD1">
              <w:rPr>
                <w:color w:val="auto"/>
                <w:sz w:val="18"/>
                <w:szCs w:val="20"/>
                <w:lang w:val="uk-UA"/>
              </w:rPr>
              <w:t>Yн</w:t>
            </w:r>
            <w:proofErr w:type="spellEnd"/>
          </w:p>
        </w:tc>
      </w:tr>
    </w:tbl>
    <w:p w:rsidR="00737CD1" w:rsidRPr="00737CD1" w:rsidRDefault="00737CD1" w:rsidP="00737CD1">
      <w:pPr>
        <w:spacing w:after="0" w:line="240" w:lineRule="auto"/>
        <w:ind w:right="0" w:firstLine="0"/>
        <w:jc w:val="left"/>
        <w:rPr>
          <w:color w:val="auto"/>
          <w:sz w:val="20"/>
          <w:szCs w:val="20"/>
          <w:lang w:val="uk-UA"/>
        </w:rPr>
      </w:pPr>
    </w:p>
    <w:tbl>
      <w:tblPr>
        <w:tblW w:w="907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25"/>
        <w:gridCol w:w="824"/>
        <w:gridCol w:w="1100"/>
        <w:gridCol w:w="1100"/>
        <w:gridCol w:w="1100"/>
        <w:gridCol w:w="1100"/>
        <w:gridCol w:w="1100"/>
        <w:gridCol w:w="1100"/>
      </w:tblGrid>
      <w:tr w:rsidR="00737CD1" w:rsidRPr="00737CD1" w:rsidTr="00423010">
        <w:trPr>
          <w:cantSplit/>
          <w:trHeight w:val="261"/>
        </w:trPr>
        <w:tc>
          <w:tcPr>
            <w:tcW w:w="1276" w:type="dxa"/>
            <w:gridSpan w:val="3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Кабелі</w:t>
            </w:r>
          </w:p>
        </w:tc>
        <w:tc>
          <w:tcPr>
            <w:tcW w:w="2268" w:type="dxa"/>
            <w:gridSpan w:val="4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Фазовий кабель</w:t>
            </w:r>
          </w:p>
        </w:tc>
        <w:tc>
          <w:tcPr>
            <w:tcW w:w="1134" w:type="dxa"/>
            <w:gridSpan w:val="2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Нульовий захисний кабель</w:t>
            </w:r>
          </w:p>
        </w:tc>
      </w:tr>
      <w:tr w:rsidR="00737CD1" w:rsidRPr="00737CD1" w:rsidTr="00423010">
        <w:trPr>
          <w:cantSplit/>
          <w:trHeight w:val="411"/>
        </w:trPr>
        <w:tc>
          <w:tcPr>
            <w:tcW w:w="851" w:type="dxa"/>
            <w:gridSpan w:val="2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Довжина, м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737CD1" w:rsidRPr="00737CD1" w:rsidRDefault="00737CD1" w:rsidP="00737CD1">
            <w:pPr>
              <w:spacing w:after="0" w:line="240" w:lineRule="auto"/>
              <w:ind w:left="113" w:right="113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Захист</w:t>
            </w:r>
          </w:p>
        </w:tc>
        <w:tc>
          <w:tcPr>
            <w:tcW w:w="1134" w:type="dxa"/>
            <w:gridSpan w:val="2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Матеріал</w:t>
            </w:r>
          </w:p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 xml:space="preserve"> жили</w:t>
            </w:r>
          </w:p>
        </w:tc>
        <w:tc>
          <w:tcPr>
            <w:tcW w:w="1134" w:type="dxa"/>
            <w:gridSpan w:val="2"/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Ізоляція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37CD1" w:rsidRPr="00737CD1" w:rsidRDefault="00737CD1" w:rsidP="00737CD1">
            <w:pPr>
              <w:spacing w:after="0" w:line="240" w:lineRule="auto"/>
              <w:ind w:left="113" w:right="113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Матеріал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37CD1" w:rsidRPr="00737CD1" w:rsidRDefault="00737CD1" w:rsidP="00737CD1">
            <w:pPr>
              <w:spacing w:after="0" w:line="240" w:lineRule="auto"/>
              <w:ind w:left="113" w:right="113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 xml:space="preserve">Ізоляція </w:t>
            </w:r>
          </w:p>
        </w:tc>
      </w:tr>
      <w:tr w:rsidR="00737CD1" w:rsidRPr="00737CD1" w:rsidTr="00423010">
        <w:trPr>
          <w:cantSplit/>
          <w:trHeight w:val="486"/>
        </w:trPr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b/>
                <w:i/>
                <w:color w:val="auto"/>
                <w:sz w:val="20"/>
                <w:szCs w:val="20"/>
                <w:lang w:val="uk-UA"/>
              </w:rPr>
            </w:pPr>
            <w:r w:rsidRPr="00737CD1">
              <w:rPr>
                <w:b/>
                <w:i/>
                <w:color w:val="auto"/>
                <w:sz w:val="20"/>
                <w:szCs w:val="20"/>
                <w:lang w:val="uk-UA"/>
              </w:rPr>
              <w:t>L</w:t>
            </w:r>
            <w:r w:rsidRPr="00737CD1">
              <w:rPr>
                <w:b/>
                <w:i/>
                <w:color w:val="auto"/>
                <w:sz w:val="20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b/>
                <w:i/>
                <w:color w:val="auto"/>
                <w:sz w:val="20"/>
                <w:szCs w:val="20"/>
                <w:lang w:val="uk-UA"/>
              </w:rPr>
            </w:pPr>
            <w:r w:rsidRPr="00737CD1">
              <w:rPr>
                <w:b/>
                <w:i/>
                <w:color w:val="auto"/>
                <w:sz w:val="20"/>
                <w:szCs w:val="20"/>
                <w:lang w:val="uk-UA"/>
              </w:rPr>
              <w:t>L</w:t>
            </w:r>
            <w:r w:rsidRPr="00737CD1">
              <w:rPr>
                <w:b/>
                <w:i/>
                <w:color w:val="auto"/>
                <w:sz w:val="20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b/>
                <w:i/>
                <w:color w:val="auto"/>
                <w:sz w:val="20"/>
                <w:szCs w:val="20"/>
                <w:lang w:val="uk-UA"/>
              </w:rPr>
            </w:pPr>
            <w:r w:rsidRPr="00737CD1">
              <w:rPr>
                <w:b/>
                <w:i/>
                <w:color w:val="auto"/>
                <w:sz w:val="20"/>
                <w:szCs w:val="20"/>
                <w:lang w:val="uk-UA"/>
              </w:rPr>
              <w:t>l</w:t>
            </w:r>
            <w:r w:rsidRPr="00737CD1">
              <w:rPr>
                <w:b/>
                <w:i/>
                <w:color w:val="auto"/>
                <w:sz w:val="20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b/>
                <w:i/>
                <w:color w:val="auto"/>
                <w:sz w:val="20"/>
                <w:szCs w:val="20"/>
                <w:lang w:val="uk-UA"/>
              </w:rPr>
            </w:pPr>
            <w:r w:rsidRPr="00737CD1">
              <w:rPr>
                <w:b/>
                <w:i/>
                <w:color w:val="auto"/>
                <w:sz w:val="20"/>
                <w:szCs w:val="20"/>
                <w:lang w:val="uk-UA"/>
              </w:rPr>
              <w:t>l</w:t>
            </w:r>
            <w:r w:rsidRPr="00737CD1">
              <w:rPr>
                <w:b/>
                <w:i/>
                <w:color w:val="auto"/>
                <w:sz w:val="20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b/>
                <w:i/>
                <w:color w:val="auto"/>
                <w:sz w:val="20"/>
                <w:szCs w:val="20"/>
                <w:lang w:val="uk-UA"/>
              </w:rPr>
            </w:pPr>
            <w:r w:rsidRPr="00737CD1">
              <w:rPr>
                <w:b/>
                <w:i/>
                <w:color w:val="auto"/>
                <w:sz w:val="20"/>
                <w:szCs w:val="20"/>
                <w:lang w:val="uk-UA"/>
              </w:rPr>
              <w:t>l</w:t>
            </w:r>
            <w:r w:rsidRPr="00737CD1">
              <w:rPr>
                <w:b/>
                <w:i/>
                <w:color w:val="auto"/>
                <w:sz w:val="20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b/>
                <w:i/>
                <w:color w:val="auto"/>
                <w:sz w:val="20"/>
                <w:szCs w:val="20"/>
                <w:lang w:val="uk-UA"/>
              </w:rPr>
            </w:pPr>
            <w:r w:rsidRPr="00737CD1">
              <w:rPr>
                <w:b/>
                <w:i/>
                <w:color w:val="auto"/>
                <w:sz w:val="20"/>
                <w:szCs w:val="20"/>
                <w:lang w:val="uk-UA"/>
              </w:rPr>
              <w:t>l</w:t>
            </w:r>
            <w:r w:rsidRPr="00737CD1">
              <w:rPr>
                <w:b/>
                <w:i/>
                <w:color w:val="auto"/>
                <w:sz w:val="20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737CD1" w:rsidRPr="00737CD1" w:rsidTr="00423010"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130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8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ПР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мідь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proofErr w:type="spellStart"/>
            <w:r w:rsidRPr="00737CD1">
              <w:rPr>
                <w:color w:val="auto"/>
                <w:sz w:val="20"/>
                <w:szCs w:val="20"/>
                <w:lang w:val="uk-UA"/>
              </w:rPr>
              <w:t>алюм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proofErr w:type="spellStart"/>
            <w:r w:rsidRPr="00737CD1">
              <w:rPr>
                <w:color w:val="auto"/>
                <w:sz w:val="20"/>
                <w:szCs w:val="20"/>
                <w:lang w:val="uk-UA"/>
              </w:rPr>
              <w:t>бумаж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proofErr w:type="spellStart"/>
            <w:r w:rsidRPr="00737CD1">
              <w:rPr>
                <w:color w:val="auto"/>
                <w:sz w:val="20"/>
                <w:szCs w:val="20"/>
                <w:lang w:val="uk-UA"/>
              </w:rPr>
              <w:t>бумаж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мідь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737CD1" w:rsidRPr="00737CD1" w:rsidRDefault="00737CD1" w:rsidP="00737CD1">
            <w:pPr>
              <w:spacing w:after="0" w:line="240" w:lineRule="auto"/>
              <w:ind w:right="0" w:firstLine="0"/>
              <w:jc w:val="center"/>
              <w:rPr>
                <w:color w:val="auto"/>
                <w:sz w:val="20"/>
                <w:szCs w:val="20"/>
                <w:lang w:val="uk-UA"/>
              </w:rPr>
            </w:pPr>
            <w:r w:rsidRPr="00737CD1">
              <w:rPr>
                <w:color w:val="auto"/>
                <w:sz w:val="20"/>
                <w:szCs w:val="20"/>
                <w:lang w:val="uk-UA"/>
              </w:rPr>
              <w:t>мідь</w:t>
            </w:r>
          </w:p>
        </w:tc>
      </w:tr>
    </w:tbl>
    <w:p w:rsidR="00737CD1" w:rsidRPr="00737CD1" w:rsidRDefault="00737CD1" w:rsidP="00737CD1">
      <w:pPr>
        <w:spacing w:after="0" w:line="240" w:lineRule="auto"/>
        <w:ind w:right="0" w:firstLine="0"/>
        <w:jc w:val="left"/>
        <w:rPr>
          <w:color w:val="auto"/>
          <w:sz w:val="20"/>
          <w:szCs w:val="20"/>
          <w:lang w:val="uk-UA"/>
        </w:rPr>
      </w:pPr>
    </w:p>
    <w:p w:rsidR="00737CD1" w:rsidRPr="00737CD1" w:rsidRDefault="00737CD1" w:rsidP="00737CD1">
      <w:pPr>
        <w:spacing w:after="0" w:line="240" w:lineRule="auto"/>
        <w:ind w:right="0" w:firstLine="0"/>
        <w:jc w:val="left"/>
        <w:rPr>
          <w:color w:val="auto"/>
          <w:sz w:val="20"/>
          <w:szCs w:val="20"/>
          <w:lang w:val="uk-UA"/>
        </w:rPr>
      </w:pPr>
    </w:p>
    <w:p w:rsidR="00737CD1" w:rsidRPr="00737CD1" w:rsidRDefault="00737CD1" w:rsidP="00737CD1">
      <w:pPr>
        <w:pStyle w:val="a6"/>
        <w:numPr>
          <w:ilvl w:val="0"/>
          <w:numId w:val="10"/>
        </w:numPr>
        <w:spacing w:after="160" w:line="259" w:lineRule="auto"/>
        <w:ind w:right="0"/>
        <w:jc w:val="left"/>
        <w:rPr>
          <w:rFonts w:eastAsiaTheme="minorHAnsi"/>
          <w:color w:val="auto"/>
          <w:lang w:val="uk-UA" w:eastAsia="en-US"/>
        </w:rPr>
      </w:pPr>
      <w:r w:rsidRPr="00737CD1">
        <w:rPr>
          <w:rFonts w:eastAsiaTheme="minorHAnsi"/>
          <w:color w:val="auto"/>
          <w:lang w:val="uk-UA" w:eastAsia="en-US"/>
        </w:rPr>
        <w:t xml:space="preserve">Визначити потужність трансформатора </w:t>
      </w:r>
      <w:proofErr w:type="spellStart"/>
      <w:r w:rsidRPr="00737CD1">
        <w:rPr>
          <w:rFonts w:eastAsiaTheme="minorHAnsi"/>
          <w:color w:val="auto"/>
          <w:lang w:val="uk-UA" w:eastAsia="en-US"/>
        </w:rPr>
        <w:t>S</w:t>
      </w:r>
      <w:r w:rsidRPr="00737CD1">
        <w:rPr>
          <w:rFonts w:eastAsiaTheme="minorHAnsi"/>
          <w:color w:val="auto"/>
          <w:vertAlign w:val="subscript"/>
          <w:lang w:val="uk-UA" w:eastAsia="en-US"/>
        </w:rPr>
        <w:t>тр</w:t>
      </w:r>
      <w:proofErr w:type="spellEnd"/>
      <w:r w:rsidRPr="00737CD1">
        <w:rPr>
          <w:rFonts w:eastAsiaTheme="minorHAnsi"/>
          <w:color w:val="auto"/>
          <w:lang w:val="uk-UA" w:eastAsia="en-US"/>
        </w:rPr>
        <w:t xml:space="preserve"> за формулою</w:t>
      </w:r>
    </w:p>
    <w:p w:rsidR="00737CD1" w:rsidRPr="00737CD1" w:rsidRDefault="00737CD1" w:rsidP="00737CD1">
      <w:pPr>
        <w:spacing w:after="0" w:line="360" w:lineRule="auto"/>
        <w:ind w:right="0" w:firstLine="709"/>
        <w:jc w:val="center"/>
        <w:rPr>
          <w:color w:val="auto"/>
          <w:szCs w:val="20"/>
          <w:lang w:val="uk-UA"/>
        </w:rPr>
      </w:pPr>
      <w:r w:rsidRPr="00737CD1">
        <w:rPr>
          <w:color w:val="auto"/>
          <w:position w:val="-32"/>
          <w:szCs w:val="20"/>
          <w:lang w:val="uk-UA"/>
        </w:rPr>
        <w:object w:dxaOrig="43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9" type="#_x0000_t75" style="width:3in;height:53.25pt" o:ole="">
            <v:imagedata r:id="rId5" o:title=""/>
          </v:shape>
          <o:OLEObject Type="Embed" ProgID="Equation.3" ShapeID="_x0000_i1529" DrawAspect="Content" ObjectID="_1664640442" r:id="rId6"/>
        </w:object>
      </w:r>
    </w:p>
    <w:p w:rsidR="00737CD1" w:rsidRPr="00737CD1" w:rsidRDefault="00737CD1" w:rsidP="00737CD1">
      <w:pPr>
        <w:spacing w:after="0" w:line="360" w:lineRule="auto"/>
        <w:ind w:right="0" w:firstLine="709"/>
        <w:jc w:val="center"/>
        <w:rPr>
          <w:color w:val="auto"/>
          <w:szCs w:val="20"/>
          <w:lang w:val="uk-UA"/>
        </w:rPr>
      </w:pPr>
      <w:r w:rsidRPr="00737CD1">
        <w:rPr>
          <w:color w:val="auto"/>
          <w:position w:val="-36"/>
          <w:szCs w:val="20"/>
          <w:lang w:val="uk-UA"/>
        </w:rPr>
        <w:object w:dxaOrig="4280" w:dyaOrig="800">
          <v:shape id="_x0000_i1530" type="#_x0000_t75" style="width:213.75pt;height:39.75pt" o:ole="">
            <v:imagedata r:id="rId7" o:title=""/>
          </v:shape>
          <o:OLEObject Type="Embed" ProgID="Equation.3" ShapeID="_x0000_i1530" DrawAspect="Content" ObjectID="_1664640443" r:id="rId8"/>
        </w:object>
      </w:r>
    </w:p>
    <w:p w:rsidR="00737CD1" w:rsidRPr="00737CD1" w:rsidRDefault="00737CD1" w:rsidP="00737CD1">
      <w:pPr>
        <w:spacing w:after="0" w:line="360" w:lineRule="auto"/>
        <w:ind w:right="0" w:firstLine="0"/>
        <w:jc w:val="center"/>
        <w:rPr>
          <w:color w:val="auto"/>
          <w:szCs w:val="20"/>
          <w:lang w:val="uk-UA"/>
        </w:rPr>
      </w:pPr>
      <w:r w:rsidRPr="00737CD1">
        <w:rPr>
          <w:color w:val="auto"/>
          <w:position w:val="-28"/>
          <w:szCs w:val="20"/>
          <w:lang w:val="uk-UA"/>
        </w:rPr>
        <w:object w:dxaOrig="8520" w:dyaOrig="720">
          <v:shape id="_x0000_i1531" type="#_x0000_t75" style="width:425.25pt;height:36pt" o:ole="">
            <v:imagedata r:id="rId9" o:title=""/>
          </v:shape>
          <o:OLEObject Type="Embed" ProgID="Equation.3" ShapeID="_x0000_i1531" DrawAspect="Content" ObjectID="_1664640444" r:id="rId10"/>
        </w:object>
      </w:r>
      <w:r w:rsidRPr="00737CD1">
        <w:rPr>
          <w:color w:val="auto"/>
          <w:szCs w:val="20"/>
          <w:lang w:val="uk-UA"/>
        </w:rPr>
        <w:t>кВт</w:t>
      </w:r>
    </w:p>
    <w:p w:rsidR="00737CD1" w:rsidRPr="00737CD1" w:rsidRDefault="00737CD1" w:rsidP="00737CD1">
      <w:pPr>
        <w:spacing w:after="0" w:line="240" w:lineRule="auto"/>
        <w:ind w:right="0" w:firstLine="0"/>
        <w:jc w:val="center"/>
        <w:rPr>
          <w:color w:val="auto"/>
          <w:szCs w:val="28"/>
          <w:lang w:val="uk-UA"/>
        </w:rPr>
      </w:pPr>
      <w:r w:rsidRPr="00737CD1">
        <w:rPr>
          <w:i/>
          <w:color w:val="auto"/>
          <w:szCs w:val="28"/>
          <w:lang w:val="uk-UA"/>
        </w:rPr>
        <w:t>Z</w:t>
      </w:r>
      <w:r w:rsidRPr="00737CD1">
        <w:rPr>
          <w:color w:val="auto"/>
          <w:szCs w:val="28"/>
          <w:vertAlign w:val="subscript"/>
          <w:lang w:val="uk-UA"/>
        </w:rPr>
        <w:t>Т</w:t>
      </w:r>
      <w:r w:rsidRPr="00737CD1">
        <w:rPr>
          <w:color w:val="auto"/>
          <w:szCs w:val="28"/>
          <w:lang w:val="uk-UA"/>
        </w:rPr>
        <w:t>=0,226(</w:t>
      </w:r>
      <w:proofErr w:type="spellStart"/>
      <w:r w:rsidRPr="00737CD1">
        <w:rPr>
          <w:color w:val="auto"/>
          <w:szCs w:val="28"/>
          <w:lang w:val="uk-UA"/>
        </w:rPr>
        <w:t>Ом</w:t>
      </w:r>
      <w:proofErr w:type="spellEnd"/>
      <w:r w:rsidRPr="00737CD1">
        <w:rPr>
          <w:color w:val="auto"/>
          <w:szCs w:val="28"/>
          <w:lang w:val="uk-UA"/>
        </w:rPr>
        <w:t>)</w:t>
      </w:r>
    </w:p>
    <w:p w:rsidR="00737CD1" w:rsidRPr="00737CD1" w:rsidRDefault="00737CD1" w:rsidP="00737CD1">
      <w:pPr>
        <w:spacing w:after="0" w:line="360" w:lineRule="auto"/>
        <w:ind w:right="0" w:firstLine="709"/>
        <w:jc w:val="left"/>
        <w:rPr>
          <w:color w:val="auto"/>
          <w:szCs w:val="20"/>
          <w:lang w:val="uk-UA"/>
        </w:rPr>
      </w:pPr>
    </w:p>
    <w:p w:rsidR="00737CD1" w:rsidRPr="00737CD1" w:rsidRDefault="00737CD1" w:rsidP="00737CD1">
      <w:pPr>
        <w:pStyle w:val="a6"/>
        <w:numPr>
          <w:ilvl w:val="0"/>
          <w:numId w:val="10"/>
        </w:numPr>
        <w:spacing w:after="160" w:line="259" w:lineRule="auto"/>
        <w:ind w:right="0"/>
        <w:jc w:val="left"/>
        <w:rPr>
          <w:rFonts w:eastAsiaTheme="minorHAnsi"/>
          <w:color w:val="auto"/>
          <w:lang w:val="uk-UA" w:eastAsia="en-US"/>
        </w:rPr>
      </w:pPr>
      <w:r w:rsidRPr="00737CD1">
        <w:rPr>
          <w:rFonts w:eastAsiaTheme="minorHAnsi"/>
          <w:color w:val="auto"/>
          <w:lang w:val="uk-UA" w:eastAsia="en-US"/>
        </w:rPr>
        <w:t>Вибрати апарат захисту в ланцюзі електродвигуна</w:t>
      </w:r>
    </w:p>
    <w:p w:rsidR="00737CD1" w:rsidRPr="00737CD1" w:rsidRDefault="00737CD1" w:rsidP="00737CD1">
      <w:pPr>
        <w:spacing w:after="0" w:line="360" w:lineRule="auto"/>
        <w:ind w:right="0" w:firstLine="0"/>
        <w:jc w:val="center"/>
        <w:rPr>
          <w:color w:val="auto"/>
          <w:szCs w:val="20"/>
          <w:lang w:val="uk-UA"/>
        </w:rPr>
      </w:pPr>
      <w:r w:rsidRPr="00737CD1">
        <w:rPr>
          <w:color w:val="auto"/>
          <w:position w:val="-12"/>
          <w:szCs w:val="20"/>
          <w:lang w:val="uk-UA"/>
        </w:rPr>
        <w:object w:dxaOrig="1100" w:dyaOrig="380">
          <v:shape id="_x0000_i1627" type="#_x0000_t75" style="width:54.75pt;height:18.75pt" o:ole="">
            <v:imagedata r:id="rId11" o:title=""/>
          </v:shape>
          <o:OLEObject Type="Embed" ProgID="Equation.3" ShapeID="_x0000_i1627" DrawAspect="Content" ObjectID="_1664640445" r:id="rId12"/>
        </w:object>
      </w:r>
    </w:p>
    <w:p w:rsidR="00737CD1" w:rsidRPr="00737CD1" w:rsidRDefault="00737CD1" w:rsidP="00737CD1">
      <w:pPr>
        <w:spacing w:after="0" w:line="360" w:lineRule="auto"/>
        <w:ind w:right="0" w:firstLine="0"/>
        <w:jc w:val="center"/>
        <w:rPr>
          <w:color w:val="auto"/>
          <w:szCs w:val="20"/>
          <w:lang w:val="uk-UA"/>
        </w:rPr>
      </w:pPr>
      <w:r w:rsidRPr="00737CD1">
        <w:rPr>
          <w:color w:val="auto"/>
          <w:position w:val="-36"/>
          <w:szCs w:val="20"/>
          <w:lang w:val="uk-UA"/>
        </w:rPr>
        <w:object w:dxaOrig="2439" w:dyaOrig="800">
          <v:shape id="_x0000_i1628" type="#_x0000_t75" style="width:122.25pt;height:34.5pt" o:ole="" fillcolor="window">
            <v:imagedata r:id="rId13" o:title=""/>
          </v:shape>
          <o:OLEObject Type="Embed" ProgID="Equation.3" ShapeID="_x0000_i1628" DrawAspect="Content" ObjectID="_1664640446" r:id="rId14"/>
        </w:object>
      </w:r>
    </w:p>
    <w:p w:rsidR="00737CD1" w:rsidRPr="00737CD1" w:rsidRDefault="00737CD1" w:rsidP="00737CD1">
      <w:pPr>
        <w:spacing w:after="0" w:line="360" w:lineRule="auto"/>
        <w:ind w:right="0" w:firstLine="0"/>
        <w:jc w:val="center"/>
        <w:rPr>
          <w:color w:val="auto"/>
          <w:sz w:val="24"/>
          <w:szCs w:val="20"/>
          <w:lang w:val="uk-UA"/>
        </w:rPr>
      </w:pPr>
      <w:r w:rsidRPr="00737CD1">
        <w:rPr>
          <w:color w:val="auto"/>
          <w:position w:val="-30"/>
          <w:sz w:val="24"/>
          <w:szCs w:val="20"/>
          <w:lang w:val="uk-UA"/>
        </w:rPr>
        <w:object w:dxaOrig="3700" w:dyaOrig="740">
          <v:shape id="_x0000_i1629" type="#_x0000_t75" style="width:184.5pt;height:37.5pt" o:ole="" fillcolor="window">
            <v:imagedata r:id="rId15" o:title=""/>
          </v:shape>
          <o:OLEObject Type="Embed" ProgID="Equation.3" ShapeID="_x0000_i1629" DrawAspect="Content" ObjectID="_1664640447" r:id="rId16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30"/>
          <w:sz w:val="24"/>
          <w:lang w:val="uk-UA" w:eastAsia="en-US"/>
        </w:rPr>
        <w:object w:dxaOrig="1200" w:dyaOrig="680">
          <v:shape id="_x0000_i1630" type="#_x0000_t75" style="width:60pt;height:34.5pt" o:ole="" fillcolor="window">
            <v:imagedata r:id="rId17" o:title=""/>
          </v:shape>
          <o:OLEObject Type="Embed" ProgID="Equation.3" ShapeID="_x0000_i1630" DrawAspect="Content" ObjectID="_1664640448" r:id="rId18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12"/>
          <w:sz w:val="24"/>
          <w:lang w:val="uk-UA" w:eastAsia="en-US"/>
        </w:rPr>
        <w:object w:dxaOrig="1120" w:dyaOrig="380">
          <v:shape id="_x0000_i1631" type="#_x0000_t75" style="width:55.5pt;height:18.75pt" o:ole="">
            <v:imagedata r:id="rId19" o:title=""/>
          </v:shape>
          <o:OLEObject Type="Embed" ProgID="Equation.3" ShapeID="_x0000_i1631" DrawAspect="Content" ObjectID="_1664640449" r:id="rId20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en-US" w:eastAsia="en-US"/>
        </w:rPr>
      </w:pPr>
      <w:r w:rsidRPr="00737CD1">
        <w:rPr>
          <w:rFonts w:eastAsiaTheme="minorHAnsi"/>
          <w:color w:val="auto"/>
          <w:position w:val="-16"/>
          <w:sz w:val="24"/>
          <w:lang w:val="en-US" w:eastAsia="en-US"/>
        </w:rPr>
        <w:object w:dxaOrig="3860" w:dyaOrig="420">
          <v:shape id="_x0000_i1632" type="#_x0000_t75" style="width:192.75pt;height:21pt" o:ole="">
            <v:imagedata r:id="rId21" o:title=""/>
          </v:shape>
          <o:OLEObject Type="Embed" ProgID="Equation.3" ShapeID="_x0000_i1632" DrawAspect="Content" ObjectID="_1664640450" r:id="rId22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24"/>
          <w:sz w:val="24"/>
          <w:lang w:val="uk-UA" w:eastAsia="en-US"/>
        </w:rPr>
        <w:object w:dxaOrig="1300" w:dyaOrig="620">
          <v:shape id="_x0000_i1633" type="#_x0000_t75" style="width:65.25pt;height:30.75pt" o:ole="" fillcolor="window">
            <v:imagedata r:id="rId23" o:title=""/>
          </v:shape>
          <o:OLEObject Type="Embed" ProgID="Equation.3" ShapeID="_x0000_i1633" DrawAspect="Content" ObjectID="_1664640451" r:id="rId24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28"/>
          <w:sz w:val="24"/>
          <w:lang w:val="uk-UA" w:eastAsia="en-US"/>
        </w:rPr>
        <w:object w:dxaOrig="2360" w:dyaOrig="720">
          <v:shape id="_x0000_i1634" type="#_x0000_t75" style="width:117.75pt;height:36pt" o:ole="" fillcolor="window">
            <v:imagedata r:id="rId25" o:title=""/>
          </v:shape>
          <o:OLEObject Type="Embed" ProgID="Equation.3" ShapeID="_x0000_i1634" DrawAspect="Content" ObjectID="_1664640452" r:id="rId26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</w:p>
    <w:p w:rsidR="00737CD1" w:rsidRPr="00737CD1" w:rsidRDefault="00737CD1" w:rsidP="00737CD1">
      <w:pPr>
        <w:pStyle w:val="a6"/>
        <w:numPr>
          <w:ilvl w:val="0"/>
          <w:numId w:val="10"/>
        </w:numPr>
        <w:spacing w:after="160" w:line="259" w:lineRule="auto"/>
        <w:ind w:right="0" w:firstLine="0"/>
        <w:jc w:val="left"/>
        <w:rPr>
          <w:rFonts w:eastAsiaTheme="minorHAnsi"/>
          <w:color w:val="auto"/>
          <w:lang w:val="uk-UA" w:eastAsia="en-US"/>
        </w:rPr>
      </w:pPr>
      <w:r w:rsidRPr="00737CD1">
        <w:rPr>
          <w:rFonts w:eastAsiaTheme="minorHAnsi"/>
          <w:color w:val="auto"/>
          <w:lang w:val="uk-UA" w:eastAsia="en-US"/>
        </w:rPr>
        <w:lastRenderedPageBreak/>
        <w:t xml:space="preserve">Визначити опору фазного </w:t>
      </w:r>
      <w:proofErr w:type="spellStart"/>
      <w:r w:rsidRPr="00737CD1">
        <w:rPr>
          <w:rFonts w:eastAsiaTheme="minorHAnsi"/>
          <w:color w:val="auto"/>
          <w:lang w:val="uk-UA" w:eastAsia="en-US"/>
        </w:rPr>
        <w:t>Rф</w:t>
      </w:r>
      <w:proofErr w:type="spellEnd"/>
      <w:r w:rsidRPr="00737CD1">
        <w:rPr>
          <w:rFonts w:eastAsiaTheme="minorHAnsi"/>
          <w:color w:val="auto"/>
          <w:lang w:val="uk-UA" w:eastAsia="en-US"/>
        </w:rPr>
        <w:t xml:space="preserve"> і нульового захисного </w:t>
      </w:r>
      <w:proofErr w:type="spellStart"/>
      <w:r w:rsidRPr="00737CD1">
        <w:rPr>
          <w:rFonts w:eastAsiaTheme="minorHAnsi"/>
          <w:color w:val="auto"/>
          <w:lang w:val="uk-UA" w:eastAsia="en-US"/>
        </w:rPr>
        <w:t>Rн.з</w:t>
      </w:r>
      <w:proofErr w:type="spellEnd"/>
      <w:r w:rsidRPr="00737CD1">
        <w:rPr>
          <w:rFonts w:eastAsiaTheme="minorHAnsi"/>
          <w:color w:val="auto"/>
          <w:lang w:val="uk-UA" w:eastAsia="en-US"/>
        </w:rPr>
        <w:t>. провідників.</w: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28"/>
          <w:sz w:val="24"/>
          <w:lang w:val="uk-UA" w:eastAsia="en-US"/>
        </w:rPr>
        <w:object w:dxaOrig="920" w:dyaOrig="720">
          <v:shape id="_x0000_i1619" type="#_x0000_t75" style="width:46.5pt;height:36pt" o:ole="" fillcolor="window">
            <v:imagedata r:id="rId27" o:title=""/>
          </v:shape>
          <o:OLEObject Type="Embed" ProgID="Equation.3" ShapeID="_x0000_i1619" DrawAspect="Content" ObjectID="_1664640453" r:id="rId28"/>
        </w:object>
      </w:r>
    </w:p>
    <w:p w:rsidR="00737CD1" w:rsidRPr="00737CD1" w:rsidRDefault="00737CD1" w:rsidP="00737CD1">
      <w:pPr>
        <w:spacing w:after="0" w:line="360" w:lineRule="auto"/>
        <w:ind w:right="0" w:firstLine="0"/>
        <w:contextualSpacing/>
        <w:rPr>
          <w:rFonts w:eastAsiaTheme="minorHAnsi"/>
          <w:color w:val="auto"/>
          <w:szCs w:val="28"/>
          <w:lang w:val="uk-UA" w:eastAsia="en-US"/>
        </w:rPr>
      </w:pPr>
      <w:r w:rsidRPr="00737CD1">
        <w:rPr>
          <w:rFonts w:eastAsiaTheme="minorHAnsi"/>
          <w:color w:val="auto"/>
          <w:szCs w:val="28"/>
          <w:lang w:val="uk-UA" w:eastAsia="en-US"/>
        </w:rPr>
        <w:t>де:</w:t>
      </w:r>
    </w:p>
    <w:p w:rsidR="00737CD1" w:rsidRPr="00737CD1" w:rsidRDefault="00737CD1" w:rsidP="00737CD1">
      <w:pPr>
        <w:spacing w:after="0" w:line="360" w:lineRule="auto"/>
        <w:ind w:right="0" w:firstLine="708"/>
        <w:contextualSpacing/>
        <w:rPr>
          <w:rFonts w:eastAsiaTheme="minorHAnsi"/>
          <w:color w:val="auto"/>
          <w:szCs w:val="28"/>
          <w:lang w:val="uk-UA" w:eastAsia="en-US"/>
        </w:rPr>
      </w:pPr>
      <w:r w:rsidRPr="00737CD1">
        <w:rPr>
          <w:rFonts w:eastAsiaTheme="minorHAnsi"/>
          <w:color w:val="auto"/>
          <w:szCs w:val="28"/>
          <w:lang w:val="uk-UA" w:eastAsia="en-US"/>
        </w:rPr>
        <w:sym w:font="Symbol" w:char="F072"/>
      </w:r>
      <w:r w:rsidRPr="00737CD1">
        <w:rPr>
          <w:rFonts w:eastAsiaTheme="minorHAnsi"/>
          <w:color w:val="auto"/>
          <w:szCs w:val="28"/>
          <w:lang w:val="uk-UA" w:eastAsia="en-US"/>
        </w:rPr>
        <w:t xml:space="preserve"> - питомий опір провідника, рівний для міді 0.018, а для алюмінію - 0.028 </w:t>
      </w:r>
      <w:proofErr w:type="spellStart"/>
      <w:r w:rsidRPr="00737CD1">
        <w:rPr>
          <w:rFonts w:eastAsiaTheme="minorHAnsi"/>
          <w:color w:val="auto"/>
          <w:szCs w:val="28"/>
          <w:lang w:val="uk-UA" w:eastAsia="en-US"/>
        </w:rPr>
        <w:t>Ом</w:t>
      </w:r>
      <w:proofErr w:type="spellEnd"/>
      <w:r w:rsidRPr="00737CD1">
        <w:rPr>
          <w:rFonts w:eastAsiaTheme="minorHAnsi"/>
          <w:color w:val="auto"/>
          <w:szCs w:val="28"/>
          <w:lang w:val="uk-UA" w:eastAsia="en-US"/>
        </w:rPr>
        <w:t>*мм</w:t>
      </w:r>
      <w:r w:rsidRPr="00737CD1">
        <w:rPr>
          <w:rFonts w:eastAsiaTheme="minorHAnsi"/>
          <w:color w:val="auto"/>
          <w:szCs w:val="28"/>
          <w:vertAlign w:val="superscript"/>
          <w:lang w:val="en-US" w:eastAsia="en-US"/>
        </w:rPr>
        <w:t>2</w:t>
      </w:r>
      <w:r w:rsidRPr="00737CD1">
        <w:rPr>
          <w:rFonts w:eastAsiaTheme="minorHAnsi"/>
          <w:color w:val="auto"/>
          <w:szCs w:val="28"/>
          <w:lang w:val="uk-UA" w:eastAsia="en-US"/>
        </w:rPr>
        <w:t xml:space="preserve"> / м;</w:t>
      </w:r>
    </w:p>
    <w:p w:rsidR="00737CD1" w:rsidRPr="00737CD1" w:rsidRDefault="00737CD1" w:rsidP="00737CD1">
      <w:pPr>
        <w:spacing w:after="0" w:line="360" w:lineRule="auto"/>
        <w:ind w:right="0" w:firstLine="708"/>
        <w:contextualSpacing/>
        <w:rPr>
          <w:rFonts w:eastAsiaTheme="minorHAnsi"/>
          <w:color w:val="auto"/>
          <w:szCs w:val="28"/>
          <w:lang w:val="uk-UA" w:eastAsia="en-US"/>
        </w:rPr>
      </w:pPr>
      <w:r w:rsidRPr="00737CD1">
        <w:rPr>
          <w:rFonts w:eastAsiaTheme="minorHAnsi"/>
          <w:color w:val="auto"/>
          <w:szCs w:val="28"/>
          <w:lang w:val="uk-UA" w:eastAsia="en-US"/>
        </w:rPr>
        <w:t>l-довжина провідника, м;</w:t>
      </w:r>
    </w:p>
    <w:p w:rsidR="00737CD1" w:rsidRPr="00737CD1" w:rsidRDefault="00737CD1" w:rsidP="00737CD1">
      <w:pPr>
        <w:spacing w:after="0" w:line="360" w:lineRule="auto"/>
        <w:ind w:right="0" w:firstLine="708"/>
        <w:contextualSpacing/>
        <w:rPr>
          <w:rFonts w:eastAsiaTheme="minorHAnsi"/>
          <w:color w:val="auto"/>
          <w:szCs w:val="28"/>
          <w:lang w:val="uk-UA" w:eastAsia="en-US"/>
        </w:rPr>
      </w:pPr>
      <w:r w:rsidRPr="00737CD1">
        <w:rPr>
          <w:rFonts w:eastAsiaTheme="minorHAnsi"/>
          <w:color w:val="auto"/>
          <w:szCs w:val="28"/>
          <w:lang w:val="uk-UA" w:eastAsia="en-US"/>
        </w:rPr>
        <w:t>s - перетин провідника, мм</w:t>
      </w:r>
      <w:r w:rsidRPr="00737CD1">
        <w:rPr>
          <w:rFonts w:eastAsiaTheme="minorHAnsi"/>
          <w:color w:val="auto"/>
          <w:szCs w:val="28"/>
          <w:vertAlign w:val="superscript"/>
          <w:lang w:val="uk-UA" w:eastAsia="en-US"/>
        </w:rPr>
        <w:t xml:space="preserve">2 </w:t>
      </w:r>
      <w:r w:rsidRPr="00737CD1">
        <w:rPr>
          <w:rFonts w:eastAsiaTheme="minorHAnsi"/>
          <w:color w:val="auto"/>
          <w:szCs w:val="28"/>
          <w:lang w:val="uk-UA" w:eastAsia="en-US"/>
        </w:rPr>
        <w:t>(вибраний з табл. 11 Додатка Б).</w: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left"/>
        <w:rPr>
          <w:rFonts w:eastAsiaTheme="minorHAnsi"/>
          <w:color w:val="auto"/>
          <w:szCs w:val="28"/>
          <w:lang w:val="uk-UA" w:eastAsia="en-US"/>
        </w:rPr>
      </w:pP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28"/>
          <w:sz w:val="24"/>
          <w:lang w:val="uk-UA" w:eastAsia="en-US"/>
        </w:rPr>
        <w:object w:dxaOrig="2920" w:dyaOrig="720">
          <v:shape id="_x0000_i1620" type="#_x0000_t75" style="width:145.5pt;height:36pt" o:ole="" fillcolor="window">
            <v:imagedata r:id="rId29" o:title=""/>
          </v:shape>
          <o:OLEObject Type="Embed" ProgID="Equation.3" ShapeID="_x0000_i1620" DrawAspect="Content" ObjectID="_1664640454" r:id="rId30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28"/>
          <w:sz w:val="24"/>
          <w:lang w:val="uk-UA" w:eastAsia="en-US"/>
        </w:rPr>
        <w:object w:dxaOrig="2840" w:dyaOrig="720">
          <v:shape id="_x0000_i1621" type="#_x0000_t75" style="width:141.75pt;height:36pt" o:ole="" fillcolor="window">
            <v:imagedata r:id="rId31" o:title=""/>
          </v:shape>
          <o:OLEObject Type="Embed" ProgID="Equation.3" ShapeID="_x0000_i1621" DrawAspect="Content" ObjectID="_1664640455" r:id="rId32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28"/>
          <w:sz w:val="24"/>
          <w:lang w:val="uk-UA" w:eastAsia="en-US"/>
        </w:rPr>
        <w:object w:dxaOrig="3040" w:dyaOrig="720">
          <v:shape id="_x0000_i1622" type="#_x0000_t75" style="width:152.25pt;height:36pt" o:ole="" fillcolor="window">
            <v:imagedata r:id="rId33" o:title=""/>
          </v:shape>
          <o:OLEObject Type="Embed" ProgID="Equation.3" ShapeID="_x0000_i1622" DrawAspect="Content" ObjectID="_1664640456" r:id="rId34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28"/>
          <w:sz w:val="24"/>
          <w:lang w:val="uk-UA" w:eastAsia="en-US"/>
        </w:rPr>
        <w:object w:dxaOrig="3060" w:dyaOrig="720">
          <v:shape id="_x0000_i1623" type="#_x0000_t75" style="width:153pt;height:36pt" o:ole="" fillcolor="window">
            <v:imagedata r:id="rId35" o:title=""/>
          </v:shape>
          <o:OLEObject Type="Embed" ProgID="Equation.3" ShapeID="_x0000_i1623" DrawAspect="Content" ObjectID="_1664640457" r:id="rId36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16"/>
          <w:sz w:val="24"/>
          <w:lang w:val="uk-UA" w:eastAsia="en-US"/>
        </w:rPr>
        <w:object w:dxaOrig="5179" w:dyaOrig="420">
          <v:shape id="_x0000_i1624" type="#_x0000_t75" style="width:259.5pt;height:21pt" o:ole="">
            <v:imagedata r:id="rId37" o:title=""/>
          </v:shape>
          <o:OLEObject Type="Embed" ProgID="Equation.3" ShapeID="_x0000_i1624" DrawAspect="Content" ObjectID="_1664640458" r:id="rId38"/>
        </w:objec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737CD1">
        <w:rPr>
          <w:rFonts w:eastAsiaTheme="minorHAnsi"/>
          <w:color w:val="auto"/>
          <w:position w:val="-12"/>
          <w:sz w:val="24"/>
          <w:lang w:val="uk-UA" w:eastAsia="en-US"/>
        </w:rPr>
        <w:object w:dxaOrig="5520" w:dyaOrig="380">
          <v:shape id="_x0000_i1625" type="#_x0000_t75" style="width:276pt;height:18.75pt" o:ole="">
            <v:imagedata r:id="rId39" o:title=""/>
          </v:shape>
          <o:OLEObject Type="Embed" ProgID="Equation.3" ShapeID="_x0000_i1625" DrawAspect="Content" ObjectID="_1664640459" r:id="rId40"/>
        </w:object>
      </w:r>
    </w:p>
    <w:p w:rsidR="00737CD1" w:rsidRPr="00737CD1" w:rsidRDefault="00737CD1" w:rsidP="00737CD1">
      <w:pPr>
        <w:spacing w:after="0" w:line="240" w:lineRule="auto"/>
        <w:ind w:right="0" w:firstLine="0"/>
        <w:rPr>
          <w:color w:val="auto"/>
          <w:szCs w:val="28"/>
          <w:lang w:val="uk-UA"/>
        </w:rPr>
      </w:pPr>
      <w:r w:rsidRPr="00737CD1">
        <w:rPr>
          <w:color w:val="auto"/>
          <w:szCs w:val="28"/>
          <w:lang w:val="uk-UA"/>
        </w:rPr>
        <w:t xml:space="preserve"> </w:t>
      </w:r>
    </w:p>
    <w:p w:rsidR="00737CD1" w:rsidRPr="00737CD1" w:rsidRDefault="00737CD1" w:rsidP="00737CD1">
      <w:pPr>
        <w:spacing w:after="160" w:line="259" w:lineRule="auto"/>
        <w:ind w:right="0" w:firstLine="0"/>
        <w:contextualSpacing/>
        <w:rPr>
          <w:rFonts w:eastAsiaTheme="minorHAnsi"/>
          <w:color w:val="auto"/>
          <w:sz w:val="24"/>
          <w:lang w:val="uk-UA" w:eastAsia="en-US"/>
        </w:rPr>
      </w:pPr>
    </w:p>
    <w:p w:rsidR="00737CD1" w:rsidRPr="00737CD1" w:rsidRDefault="00737CD1" w:rsidP="00737CD1">
      <w:pPr>
        <w:pStyle w:val="a6"/>
        <w:numPr>
          <w:ilvl w:val="0"/>
          <w:numId w:val="10"/>
        </w:numPr>
        <w:spacing w:after="0" w:line="360" w:lineRule="auto"/>
        <w:ind w:right="0"/>
        <w:jc w:val="left"/>
        <w:rPr>
          <w:rFonts w:eastAsiaTheme="minorHAnsi"/>
          <w:color w:val="auto"/>
          <w:szCs w:val="28"/>
          <w:lang w:val="uk-UA" w:eastAsia="en-US"/>
        </w:rPr>
      </w:pPr>
      <w:r w:rsidRPr="00737CD1">
        <w:rPr>
          <w:rFonts w:eastAsiaTheme="minorHAnsi"/>
          <w:color w:val="auto"/>
          <w:szCs w:val="28"/>
          <w:lang w:val="uk-UA" w:eastAsia="en-US"/>
        </w:rPr>
        <w:t xml:space="preserve">Визначити дійсне розрахункове значення струму короткого замикання </w:t>
      </w:r>
      <w:proofErr w:type="spellStart"/>
      <w:r w:rsidRPr="00737CD1">
        <w:rPr>
          <w:rFonts w:eastAsiaTheme="minorHAnsi"/>
          <w:color w:val="auto"/>
          <w:szCs w:val="28"/>
          <w:lang w:val="uk-UA" w:eastAsia="en-US"/>
        </w:rPr>
        <w:t>Ік</w:t>
      </w:r>
      <w:proofErr w:type="spellEnd"/>
      <w:r w:rsidRPr="00737CD1">
        <w:rPr>
          <w:rFonts w:eastAsiaTheme="minorHAnsi"/>
          <w:color w:val="auto"/>
          <w:szCs w:val="28"/>
          <w:lang w:val="uk-UA" w:eastAsia="en-US"/>
        </w:rPr>
        <w:t xml:space="preserve"> за формулою:</w:t>
      </w:r>
      <w:r w:rsidRPr="00737CD1">
        <w:rPr>
          <w:rFonts w:eastAsiaTheme="minorHAnsi"/>
          <w:color w:val="auto"/>
          <w:sz w:val="24"/>
          <w:lang w:eastAsia="en-US"/>
        </w:rPr>
        <w:t xml:space="preserve"> </w:t>
      </w:r>
    </w:p>
    <w:p w:rsidR="00737CD1" w:rsidRPr="00737CD1" w:rsidRDefault="00737CD1" w:rsidP="00737CD1">
      <w:pPr>
        <w:spacing w:after="0" w:line="360" w:lineRule="auto"/>
        <w:ind w:left="709" w:right="0" w:firstLine="0"/>
        <w:contextualSpacing/>
        <w:rPr>
          <w:rFonts w:eastAsiaTheme="minorHAnsi"/>
          <w:color w:val="auto"/>
          <w:szCs w:val="28"/>
          <w:lang w:val="uk-UA" w:eastAsia="en-US"/>
        </w:rPr>
      </w:pPr>
    </w:p>
    <w:p w:rsidR="00737CD1" w:rsidRPr="00737CD1" w:rsidRDefault="00737CD1" w:rsidP="00737CD1">
      <w:pPr>
        <w:spacing w:after="0" w:line="240" w:lineRule="auto"/>
        <w:ind w:right="0" w:firstLine="0"/>
        <w:jc w:val="center"/>
        <w:rPr>
          <w:color w:val="auto"/>
          <w:sz w:val="24"/>
          <w:szCs w:val="20"/>
          <w:lang w:val="uk-UA"/>
        </w:rPr>
      </w:pPr>
      <w:r w:rsidRPr="00737CD1">
        <w:rPr>
          <w:color w:val="auto"/>
          <w:position w:val="-44"/>
          <w:sz w:val="20"/>
          <w:szCs w:val="20"/>
          <w:lang w:val="uk-UA"/>
        </w:rPr>
        <w:object w:dxaOrig="7160" w:dyaOrig="880">
          <v:shape id="_x0000_i1626" type="#_x0000_t75" style="width:357.75pt;height:43.5pt" o:ole="" fillcolor="window">
            <v:imagedata r:id="rId41" o:title=""/>
          </v:shape>
          <o:OLEObject Type="Embed" ProgID="Equation.3" ShapeID="_x0000_i1626" DrawAspect="Content" ObjectID="_1664640460" r:id="rId42"/>
        </w:object>
      </w:r>
    </w:p>
    <w:p w:rsidR="00737CD1" w:rsidRPr="00737CD1" w:rsidRDefault="00737CD1" w:rsidP="00737CD1">
      <w:pPr>
        <w:spacing w:after="0" w:line="240" w:lineRule="auto"/>
        <w:ind w:right="0" w:firstLine="0"/>
        <w:jc w:val="center"/>
        <w:rPr>
          <w:color w:val="auto"/>
          <w:sz w:val="24"/>
          <w:szCs w:val="20"/>
          <w:lang w:val="uk-UA"/>
        </w:rPr>
      </w:pPr>
    </w:p>
    <w:p w:rsidR="00737CD1" w:rsidRPr="00737CD1" w:rsidRDefault="00737CD1" w:rsidP="00737CD1">
      <w:pPr>
        <w:pStyle w:val="a6"/>
        <w:numPr>
          <w:ilvl w:val="0"/>
          <w:numId w:val="10"/>
        </w:numPr>
        <w:spacing w:after="0" w:line="360" w:lineRule="auto"/>
        <w:ind w:right="0"/>
        <w:jc w:val="left"/>
        <w:rPr>
          <w:rFonts w:eastAsiaTheme="minorHAnsi"/>
          <w:color w:val="auto"/>
          <w:sz w:val="24"/>
          <w:lang w:eastAsia="en-US"/>
        </w:rPr>
      </w:pPr>
      <w:r w:rsidRPr="00737CD1">
        <w:rPr>
          <w:rFonts w:eastAsiaTheme="minorHAnsi"/>
          <w:color w:val="auto"/>
          <w:szCs w:val="28"/>
          <w:lang w:val="uk-UA" w:eastAsia="en-US"/>
        </w:rPr>
        <w:t xml:space="preserve">Перевірити правильність вибору </w:t>
      </w:r>
      <w:proofErr w:type="spellStart"/>
      <w:r w:rsidRPr="00737CD1">
        <w:rPr>
          <w:rFonts w:eastAsiaTheme="minorHAnsi"/>
          <w:color w:val="auto"/>
          <w:szCs w:val="28"/>
          <w:lang w:val="uk-UA" w:eastAsia="en-US"/>
        </w:rPr>
        <w:t>нулевого</w:t>
      </w:r>
      <w:proofErr w:type="spellEnd"/>
      <w:r w:rsidRPr="00737CD1">
        <w:rPr>
          <w:rFonts w:eastAsiaTheme="minorHAnsi"/>
          <w:color w:val="auto"/>
          <w:szCs w:val="28"/>
          <w:lang w:val="uk-UA" w:eastAsia="en-US"/>
        </w:rPr>
        <w:t xml:space="preserve"> </w:t>
      </w:r>
      <w:proofErr w:type="spellStart"/>
      <w:r w:rsidRPr="00737CD1">
        <w:rPr>
          <w:rFonts w:eastAsiaTheme="minorHAnsi"/>
          <w:color w:val="auto"/>
          <w:szCs w:val="28"/>
          <w:lang w:val="uk-UA" w:eastAsia="en-US"/>
        </w:rPr>
        <w:t>захистного</w:t>
      </w:r>
      <w:proofErr w:type="spellEnd"/>
      <w:r w:rsidRPr="00737CD1">
        <w:rPr>
          <w:rFonts w:eastAsiaTheme="minorHAnsi"/>
          <w:color w:val="auto"/>
          <w:szCs w:val="28"/>
          <w:lang w:val="uk-UA" w:eastAsia="en-US"/>
        </w:rPr>
        <w:t xml:space="preserve"> провідника</w:t>
      </w:r>
    </w:p>
    <w:p w:rsidR="00737CD1" w:rsidRPr="00737CD1" w:rsidRDefault="00737CD1" w:rsidP="00737CD1">
      <w:pPr>
        <w:spacing w:after="160" w:line="259" w:lineRule="auto"/>
        <w:ind w:left="375" w:right="0" w:firstLine="0"/>
        <w:contextualSpacing/>
        <w:jc w:val="center"/>
        <w:rPr>
          <w:rFonts w:eastAsiaTheme="minorHAnsi"/>
          <w:color w:val="auto"/>
          <w:szCs w:val="28"/>
          <w:lang w:eastAsia="en-US"/>
        </w:rPr>
      </w:pPr>
      <w:r w:rsidRPr="00737CD1">
        <w:rPr>
          <w:rFonts w:eastAsiaTheme="minorHAnsi"/>
          <w:color w:val="auto"/>
          <w:szCs w:val="28"/>
          <w:lang w:eastAsia="en-US"/>
        </w:rPr>
        <w:object w:dxaOrig="1340" w:dyaOrig="360">
          <v:shape id="_x0000_i1548" type="#_x0000_t75" style="width:66.75pt;height:18.75pt" o:ole="" fillcolor="window">
            <v:imagedata r:id="rId43" o:title=""/>
          </v:shape>
          <o:OLEObject Type="Embed" ProgID="Equation.3" ShapeID="_x0000_i1548" DrawAspect="Content" ObjectID="_1664640461" r:id="rId44"/>
        </w:object>
      </w:r>
    </w:p>
    <w:p w:rsidR="00737CD1" w:rsidRPr="00737CD1" w:rsidRDefault="00737CD1" w:rsidP="00737CD1">
      <w:pPr>
        <w:spacing w:after="160" w:line="259" w:lineRule="auto"/>
        <w:ind w:left="375" w:right="0" w:firstLine="0"/>
        <w:contextualSpacing/>
        <w:jc w:val="center"/>
        <w:rPr>
          <w:rFonts w:eastAsiaTheme="minorHAnsi"/>
          <w:color w:val="auto"/>
          <w:szCs w:val="28"/>
          <w:lang w:val="uk-UA" w:eastAsia="en-US"/>
        </w:rPr>
      </w:pPr>
      <w:r w:rsidRPr="00737CD1">
        <w:rPr>
          <w:rFonts w:eastAsiaTheme="minorHAnsi"/>
          <w:color w:val="auto"/>
          <w:szCs w:val="28"/>
          <w:lang w:val="uk-UA" w:eastAsia="en-US"/>
        </w:rPr>
        <w:t>175.4</w:t>
      </w:r>
      <w:r w:rsidRPr="00737CD1">
        <w:rPr>
          <w:rFonts w:eastAsiaTheme="minorHAnsi"/>
          <w:color w:val="auto"/>
          <w:szCs w:val="28"/>
          <w:lang w:val="en-US" w:eastAsia="en-US"/>
        </w:rPr>
        <w:t xml:space="preserve"> &gt; </w:t>
      </w:r>
      <w:r w:rsidRPr="00737CD1">
        <w:rPr>
          <w:rFonts w:eastAsiaTheme="minorHAnsi"/>
          <w:color w:val="auto"/>
          <w:szCs w:val="28"/>
          <w:lang w:val="uk-UA" w:eastAsia="en-US"/>
        </w:rPr>
        <w:t>66.37</w:t>
      </w:r>
    </w:p>
    <w:p w:rsidR="00737CD1" w:rsidRPr="00737CD1" w:rsidRDefault="00737CD1" w:rsidP="00737CD1">
      <w:pPr>
        <w:spacing w:after="0" w:line="360" w:lineRule="auto"/>
        <w:ind w:left="709" w:right="0" w:firstLine="0"/>
        <w:contextualSpacing/>
        <w:rPr>
          <w:rFonts w:eastAsiaTheme="minorHAnsi"/>
          <w:color w:val="auto"/>
          <w:szCs w:val="28"/>
          <w:lang w:val="uk-UA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>Результат:</w:t>
      </w:r>
    </w:p>
    <w:p w:rsidR="00737CD1" w:rsidRPr="00737CD1" w:rsidRDefault="00737CD1" w:rsidP="00737CD1">
      <w:pPr>
        <w:spacing w:after="0" w:line="360" w:lineRule="auto"/>
        <w:ind w:right="0" w:firstLine="708"/>
        <w:rPr>
          <w:color w:val="auto"/>
          <w:sz w:val="24"/>
          <w:szCs w:val="20"/>
          <w:lang w:val="en-US"/>
        </w:rPr>
      </w:pPr>
      <w:r w:rsidRPr="00737CD1">
        <w:rPr>
          <w:color w:val="auto"/>
          <w:szCs w:val="28"/>
          <w:lang w:val="uk-UA"/>
        </w:rPr>
        <w:t xml:space="preserve">Виходячи з  того, що, умова </w:t>
      </w:r>
      <w:r w:rsidRPr="00737CD1">
        <w:rPr>
          <w:color w:val="auto"/>
          <w:position w:val="-12"/>
          <w:sz w:val="20"/>
          <w:szCs w:val="20"/>
          <w:lang w:val="uk-UA"/>
        </w:rPr>
        <w:object w:dxaOrig="1440" w:dyaOrig="380">
          <v:shape id="_x0000_i1549" type="#_x0000_t75" style="width:1in;height:18.75pt" o:ole="">
            <v:imagedata r:id="rId45" o:title=""/>
          </v:shape>
          <o:OLEObject Type="Embed" ProgID="Equation.3" ShapeID="_x0000_i1549" DrawAspect="Content" ObjectID="_1664640462" r:id="rId46"/>
        </w:object>
      </w:r>
      <w:r w:rsidRPr="00737CD1">
        <w:rPr>
          <w:color w:val="auto"/>
          <w:szCs w:val="28"/>
          <w:lang w:val="uk-UA"/>
        </w:rPr>
        <w:t xml:space="preserve"> виконується, можна зробити висновок, що: нульовий захисний провідник обрано правильно, тобто здатність системи, що відключає, занулення забезпечене.</w:t>
      </w:r>
    </w:p>
    <w:p w:rsidR="00397E96" w:rsidRDefault="0067596A" w:rsidP="00737CD1">
      <w:pPr>
        <w:pStyle w:val="2"/>
        <w:numPr>
          <w:ilvl w:val="0"/>
          <w:numId w:val="0"/>
        </w:numPr>
        <w:spacing w:after="0" w:line="360" w:lineRule="auto"/>
        <w:ind w:firstLine="708"/>
      </w:pPr>
      <w:r>
        <w:rPr>
          <w:b w:val="0"/>
          <w:lang w:val="uk-UA"/>
        </w:rPr>
        <w:lastRenderedPageBreak/>
        <w:t>5.</w:t>
      </w:r>
      <w:r w:rsidR="00737CD1">
        <w:rPr>
          <w:b w:val="0"/>
          <w:lang w:val="uk-UA"/>
        </w:rPr>
        <w:t>7</w:t>
      </w:r>
      <w:r>
        <w:rPr>
          <w:b w:val="0"/>
          <w:lang w:val="uk-UA"/>
        </w:rPr>
        <w:t xml:space="preserve"> Висновки</w:t>
      </w:r>
      <w:r>
        <w:rPr>
          <w:rFonts w:ascii="Calibri" w:eastAsia="Calibri" w:hAnsi="Calibri" w:cs="Calibri"/>
          <w:sz w:val="22"/>
          <w:lang w:val="uk-UA"/>
        </w:rPr>
        <w:t xml:space="preserve"> </w:t>
      </w:r>
    </w:p>
    <w:p w:rsidR="00397E96" w:rsidRDefault="0067596A" w:rsidP="00737CD1">
      <w:pPr>
        <w:widowControl w:val="0"/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Розглянуті питання охорони праці, а саме загальні питання з охорони праці, гігієна праці та виробнича санітарія, організація робочого простору, електробезпека в приміщеннях з ЕОМ, пожежна безпека.</w:t>
      </w:r>
    </w:p>
    <w:p w:rsidR="00397E96" w:rsidRDefault="0067596A" w:rsidP="00737CD1">
      <w:pPr>
        <w:spacing w:after="0" w:line="360" w:lineRule="auto"/>
        <w:ind w:right="0" w:firstLine="709"/>
        <w:rPr>
          <w:lang w:val="uk-UA"/>
        </w:rPr>
      </w:pPr>
      <w:r>
        <w:rPr>
          <w:rFonts w:ascii="TimesNewRoman" w:hAnsi="TimesNewRoman"/>
          <w:color w:val="222222"/>
          <w:szCs w:val="28"/>
          <w:lang w:val="uk-UA"/>
        </w:rPr>
        <w:t xml:space="preserve">Яке б </w:t>
      </w:r>
      <w:r>
        <w:rPr>
          <w:rFonts w:ascii="TimesNewRoman" w:hAnsi="TimesNewRoman"/>
          <w:color w:val="222222"/>
          <w:szCs w:val="28"/>
          <w:lang w:val="uk-UA"/>
        </w:rPr>
        <w:t>занепокоєння не викликали деякі з досліджень і статистичних даних, слід мати на увазі, що багатьом хворобам, пов'язаним з роботою на комп'ютері, можна повністю запобігти або істотно ослабити їх. Ознайомившись з найбільш поширеними причинами «комп'ютерних л</w:t>
      </w:r>
      <w:r>
        <w:rPr>
          <w:rFonts w:ascii="TimesNewRoman" w:hAnsi="TimesNewRoman"/>
          <w:color w:val="222222"/>
          <w:szCs w:val="28"/>
          <w:lang w:val="uk-UA"/>
        </w:rPr>
        <w:t>их» і корінним чином змінивши звичні методи роботи і обладнання робочого місця, більшість людей можуть уникнути можливості поповнити собою ряди жертв комп'ютерної революції.</w:t>
      </w:r>
      <w:r>
        <w:rPr>
          <w:lang w:val="uk-UA"/>
        </w:rPr>
        <w:t xml:space="preserve"> </w:t>
      </w:r>
      <w:r>
        <w:rPr>
          <w:lang w:val="uk-UA"/>
        </w:rPr>
        <w:tab/>
        <w:t xml:space="preserve"> </w:t>
      </w:r>
    </w:p>
    <w:p w:rsidR="00397E96" w:rsidRDefault="0067596A" w:rsidP="00737CD1">
      <w:pPr>
        <w:spacing w:after="160" w:line="259" w:lineRule="auto"/>
        <w:ind w:right="0" w:firstLine="0"/>
        <w:rPr>
          <w:lang w:val="uk-UA"/>
        </w:rPr>
      </w:pPr>
      <w:r>
        <w:br w:type="page"/>
      </w:r>
    </w:p>
    <w:p w:rsidR="00397E96" w:rsidRDefault="0067596A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lang w:val="uk-UA"/>
        </w:rPr>
      </w:pPr>
      <w:r>
        <w:rPr>
          <w:lang w:val="uk-UA"/>
        </w:rPr>
        <w:lastRenderedPageBreak/>
        <w:t xml:space="preserve">СПИСОК ДЖЕРЕЛ ІНФОРМАЦІЇ </w:t>
      </w:r>
    </w:p>
    <w:p w:rsidR="00397E96" w:rsidRDefault="00397E96">
      <w:pPr>
        <w:rPr>
          <w:lang w:val="uk-UA"/>
        </w:rPr>
      </w:pP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>Закон України «Про охорону праці» від 14.10.1992 №</w:t>
      </w:r>
      <w:r>
        <w:rPr>
          <w:lang w:val="uk-UA"/>
        </w:rPr>
        <w:t xml:space="preserve">2694-ХІІ у редакції від 12.02.2015 p.№191-VIII.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НПАОП 0.00-1.28-2010. Правила охорони праці користувачів під час експлуатації ЕОМ. − Київ, 2010.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proofErr w:type="spellStart"/>
      <w:r>
        <w:rPr>
          <w:lang w:val="uk-UA"/>
        </w:rPr>
        <w:t>ДСанПіН</w:t>
      </w:r>
      <w:proofErr w:type="spellEnd"/>
      <w:r>
        <w:rPr>
          <w:lang w:val="uk-UA"/>
        </w:rPr>
        <w:t>. Гігієнічна класифікація праці за показниками шкідливості та небезпечності факторів виробничого серед</w:t>
      </w:r>
      <w:r>
        <w:rPr>
          <w:lang w:val="uk-UA"/>
        </w:rPr>
        <w:t xml:space="preserve">овища, важкості та напруженості трудового процесу // </w:t>
      </w:r>
      <w:proofErr w:type="spellStart"/>
      <w:r>
        <w:rPr>
          <w:lang w:val="uk-UA"/>
        </w:rPr>
        <w:t>Затв</w:t>
      </w:r>
      <w:proofErr w:type="spellEnd"/>
      <w:r>
        <w:rPr>
          <w:lang w:val="uk-UA"/>
        </w:rPr>
        <w:t xml:space="preserve">. Наказом міністерства охорони здоров’я України 08 квітня 2014 року, №248.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ДСН 3.3.6.042-99. Санітарні норми мікроклімату виробничих приміщень // </w:t>
      </w:r>
      <w:proofErr w:type="spellStart"/>
      <w:r>
        <w:rPr>
          <w:lang w:val="uk-UA"/>
        </w:rPr>
        <w:t>Затв</w:t>
      </w:r>
      <w:proofErr w:type="spellEnd"/>
      <w:r>
        <w:rPr>
          <w:lang w:val="uk-UA"/>
        </w:rPr>
        <w:t>. постановою Головного санітарного лікаря Україн</w:t>
      </w:r>
      <w:r>
        <w:rPr>
          <w:lang w:val="uk-UA"/>
        </w:rPr>
        <w:t xml:space="preserve">и від 01 грудня 1999 року, №42.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ДБН В.2.5.-67-2013. Державні будівельні норми України. Опалення, вентиляція та кондиціонування. - Чинний від 01.01.2014 // </w:t>
      </w:r>
      <w:proofErr w:type="spellStart"/>
      <w:r>
        <w:rPr>
          <w:lang w:val="uk-UA"/>
        </w:rPr>
        <w:t>Затв</w:t>
      </w:r>
      <w:proofErr w:type="spellEnd"/>
      <w:r>
        <w:rPr>
          <w:lang w:val="uk-UA"/>
        </w:rPr>
        <w:t>. наказами Міністерства регіонального розвитку, будівництва та житлово-комунального господарства</w:t>
      </w:r>
      <w:r>
        <w:rPr>
          <w:lang w:val="uk-UA"/>
        </w:rPr>
        <w:t xml:space="preserve"> України від 25.01.2013 р. №24 та від 28.08.2013 р. №410.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ДБН В.2.5-28-2006. Державні будівельні норми України. Природне і штучне освітлення. – Чинний від 01.10.2006. Зміна №2 від 2013 року.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>ДСН 3.3.6.037-99. Санітарні норми виробничого шуму, ультразвуку</w:t>
      </w:r>
      <w:r>
        <w:rPr>
          <w:lang w:val="uk-UA"/>
        </w:rPr>
        <w:t xml:space="preserve"> та інфразвуку // </w:t>
      </w:r>
      <w:proofErr w:type="spellStart"/>
      <w:r>
        <w:rPr>
          <w:lang w:val="uk-UA"/>
        </w:rPr>
        <w:t>Затв</w:t>
      </w:r>
      <w:proofErr w:type="spellEnd"/>
      <w:r>
        <w:rPr>
          <w:lang w:val="uk-UA"/>
        </w:rPr>
        <w:t xml:space="preserve">. постановою Головного санітарного лікаря України від 01 грудня 1999 року №37.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ДСН 3.3.6. 039-99 Державні санітарні норми виробничої загальної та локальної вібрації // </w:t>
      </w:r>
      <w:proofErr w:type="spellStart"/>
      <w:r>
        <w:rPr>
          <w:lang w:val="uk-UA"/>
        </w:rPr>
        <w:t>Затв</w:t>
      </w:r>
      <w:proofErr w:type="spellEnd"/>
      <w:r>
        <w:rPr>
          <w:lang w:val="uk-UA"/>
        </w:rPr>
        <w:t>. постановою Головного санітарного лікаря України від 01 груд</w:t>
      </w:r>
      <w:r>
        <w:rPr>
          <w:lang w:val="uk-UA"/>
        </w:rPr>
        <w:t xml:space="preserve">ня 1999 року №39.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НПАОП 40.1-1.32-01. Правила будови електроустановок. Електрообладнання спеціальних установок. - К.,2001.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lastRenderedPageBreak/>
        <w:t xml:space="preserve">ДСТУ Б.В.1.1-36:2016. Визначення категорій приміщень, будинків та зовнішніх установок за </w:t>
      </w:r>
      <w:proofErr w:type="spellStart"/>
      <w:r>
        <w:rPr>
          <w:lang w:val="uk-UA"/>
        </w:rPr>
        <w:t>вибухопожежною</w:t>
      </w:r>
      <w:proofErr w:type="spellEnd"/>
      <w:r>
        <w:rPr>
          <w:lang w:val="uk-UA"/>
        </w:rPr>
        <w:t xml:space="preserve"> та пожежною небезпекою Укра</w:t>
      </w:r>
      <w:r>
        <w:rPr>
          <w:lang w:val="uk-UA"/>
        </w:rPr>
        <w:t xml:space="preserve">їни 2016.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ДБН В.1.1-7:2016. Державні будівельні норми України. Пожежна безпека об’єктів будівництва. Загальні положення.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</w:pPr>
      <w:r>
        <w:rPr>
          <w:lang w:val="uk-UA"/>
        </w:rPr>
        <w:t xml:space="preserve">ДБН В.2.5-56-2015. Системи протипожежного захисту. - К., 2015 </w:t>
      </w:r>
    </w:p>
    <w:p w:rsidR="00397E96" w:rsidRDefault="0067596A">
      <w:pPr>
        <w:numPr>
          <w:ilvl w:val="0"/>
          <w:numId w:val="8"/>
        </w:numPr>
        <w:spacing w:after="0" w:line="360" w:lineRule="auto"/>
        <w:ind w:left="0" w:right="0" w:firstLine="709"/>
        <w:jc w:val="left"/>
        <w:rPr>
          <w:lang w:val="uk-UA"/>
        </w:rPr>
      </w:pPr>
      <w:proofErr w:type="spellStart"/>
      <w:r>
        <w:rPr>
          <w:lang w:val="uk-UA"/>
        </w:rPr>
        <w:t>ДСанПіН</w:t>
      </w:r>
      <w:proofErr w:type="spellEnd"/>
      <w:r>
        <w:rPr>
          <w:lang w:val="uk-UA"/>
        </w:rPr>
        <w:t xml:space="preserve"> 3.3.2.007-1998. Державні санітарні правила і норми роботи з </w:t>
      </w:r>
      <w:r>
        <w:rPr>
          <w:lang w:val="uk-UA"/>
        </w:rPr>
        <w:t>візуальними дисплейними терміналами електронно-обчислювальних машин.</w:t>
      </w:r>
    </w:p>
    <w:sectPr w:rsidR="00397E96">
      <w:pgSz w:w="11906" w:h="16838"/>
      <w:pgMar w:top="1153" w:right="831" w:bottom="1276" w:left="1853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CFD"/>
    <w:multiLevelType w:val="multilevel"/>
    <w:tmpl w:val="05FE318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13956952"/>
    <w:multiLevelType w:val="hybridMultilevel"/>
    <w:tmpl w:val="77FEE18E"/>
    <w:lvl w:ilvl="0" w:tplc="5F46662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FB0550"/>
    <w:multiLevelType w:val="multilevel"/>
    <w:tmpl w:val="ABECF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3" w15:restartNumberingAfterBreak="0">
    <w:nsid w:val="18C9057C"/>
    <w:multiLevelType w:val="multilevel"/>
    <w:tmpl w:val="4FEA1A28"/>
    <w:lvl w:ilvl="0">
      <w:start w:val="1"/>
      <w:numFmt w:val="decimal"/>
      <w:lvlText w:val="%1)"/>
      <w:lvlJc w:val="left"/>
      <w:pPr>
        <w:ind w:left="10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4" w15:restartNumberingAfterBreak="0">
    <w:nsid w:val="1B107D1D"/>
    <w:multiLevelType w:val="multilevel"/>
    <w:tmpl w:val="22B860FC"/>
    <w:lvl w:ilvl="0">
      <w:start w:val="4"/>
      <w:numFmt w:val="decimal"/>
      <w:pStyle w:val="1"/>
      <w:suff w:val="space"/>
      <w:lvlText w:val="%1"/>
      <w:lvlJc w:val="left"/>
      <w:pPr>
        <w:ind w:left="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eastAsia="Times New Roman" w:cs="Times New Roman"/>
        <w:b w:val="0"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2050A0"/>
    <w:multiLevelType w:val="multilevel"/>
    <w:tmpl w:val="ACB4EF4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6" w15:restartNumberingAfterBreak="0">
    <w:nsid w:val="1D9B0970"/>
    <w:multiLevelType w:val="multilevel"/>
    <w:tmpl w:val="84C887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7" w15:restartNumberingAfterBreak="0">
    <w:nsid w:val="2CEA54DC"/>
    <w:multiLevelType w:val="multilevel"/>
    <w:tmpl w:val="7A1E5A28"/>
    <w:lvl w:ilvl="0">
      <w:start w:val="4"/>
      <w:numFmt w:val="decimal"/>
      <w:suff w:val="space"/>
      <w:lvlText w:val="%1"/>
      <w:lvlJc w:val="left"/>
      <w:pPr>
        <w:ind w:left="3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 w:val="0"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360"/>
        </w:tabs>
        <w:ind w:left="215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360"/>
        </w:tabs>
        <w:ind w:left="287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360"/>
        </w:tabs>
        <w:ind w:left="359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360"/>
        </w:tabs>
        <w:ind w:left="431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360"/>
        </w:tabs>
        <w:ind w:left="503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360"/>
        </w:tabs>
        <w:ind w:left="575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360"/>
        </w:tabs>
        <w:ind w:left="647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8" w15:restartNumberingAfterBreak="0">
    <w:nsid w:val="39E539AA"/>
    <w:multiLevelType w:val="multilevel"/>
    <w:tmpl w:val="EE4C5E5C"/>
    <w:lvl w:ilvl="0">
      <w:start w:val="17"/>
      <w:numFmt w:val="decimal"/>
      <w:lvlText w:val="%1."/>
      <w:lvlJc w:val="left"/>
      <w:pPr>
        <w:ind w:left="709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3C32"/>
    <w:multiLevelType w:val="hybridMultilevel"/>
    <w:tmpl w:val="51FEED26"/>
    <w:lvl w:ilvl="0" w:tplc="818E921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2F61BD"/>
    <w:multiLevelType w:val="multilevel"/>
    <w:tmpl w:val="B3FA2D1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96"/>
    <w:rsid w:val="00397E96"/>
    <w:rsid w:val="0067596A"/>
    <w:rsid w:val="0073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30E2"/>
  <w15:docId w15:val="{81AD862C-F27F-49F5-8088-481C5CA8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62" w:lineRule="auto"/>
      <w:ind w:right="23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uiPriority w:val="9"/>
    <w:unhideWhenUsed/>
    <w:qFormat/>
    <w:pPr>
      <w:keepNext/>
      <w:keepLines/>
      <w:numPr>
        <w:numId w:val="1"/>
      </w:numPr>
      <w:spacing w:after="262"/>
      <w:ind w:firstLine="700"/>
      <w:jc w:val="center"/>
      <w:outlineLvl w:val="0"/>
    </w:pPr>
  </w:style>
  <w:style w:type="paragraph" w:styleId="2">
    <w:name w:val="heading 2"/>
    <w:basedOn w:val="a"/>
    <w:uiPriority w:val="9"/>
    <w:unhideWhenUsed/>
    <w:qFormat/>
    <w:pPr>
      <w:keepNext/>
      <w:keepLines/>
      <w:numPr>
        <w:ilvl w:val="1"/>
        <w:numId w:val="1"/>
      </w:numPr>
      <w:spacing w:after="136"/>
      <w:jc w:val="left"/>
      <w:outlineLvl w:val="1"/>
    </w:pPr>
    <w:rPr>
      <w:b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0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0"/>
    <w:qFormat/>
    <w:rPr>
      <w:rFonts w:ascii="Times New Roman" w:eastAsia="Times New Roman" w:hAnsi="Times New Roman" w:cs="Times New Roman"/>
      <w:color w:val="000000"/>
      <w:sz w:val="28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9">
    <w:name w:val="ListLabel 1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9">
    <w:name w:val="ListLabel 3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0">
    <w:name w:val="ListLabel 4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6">
    <w:name w:val="ListLabel 4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7">
    <w:name w:val="ListLabel 4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8">
    <w:name w:val="ListLabel 4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9">
    <w:name w:val="ListLabel 4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0">
    <w:name w:val="ListLabel 5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1">
    <w:name w:val="ListLabel 5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2">
    <w:name w:val="ListLabel 5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3">
    <w:name w:val="ListLabel 5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4">
    <w:name w:val="ListLabel 5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5">
    <w:name w:val="ListLabel 5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6">
    <w:name w:val="ListLabel 5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7">
    <w:name w:val="ListLabel 5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8">
    <w:name w:val="ListLabel 5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9">
    <w:name w:val="ListLabel 5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0">
    <w:name w:val="ListLabel 6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1">
    <w:name w:val="ListLabel 6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2">
    <w:name w:val="ListLabel 6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3">
    <w:name w:val="ListLabel 6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3">
    <w:name w:val="ListLabel 7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0">
    <w:name w:val="ListLabel 8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2">
    <w:name w:val="ListLabel 8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9">
    <w:name w:val="ListLabel 8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0">
    <w:name w:val="ListLabel 9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1">
    <w:name w:val="ListLabel 9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Noto Sans Devanagari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uiPriority w:val="34"/>
    <w:qFormat/>
    <w:rsid w:val="008753C9"/>
    <w:pPr>
      <w:ind w:left="720"/>
      <w:contextualSpacing/>
    </w:pPr>
  </w:style>
  <w:style w:type="paragraph" w:customStyle="1" w:styleId="Heading10">
    <w:name w:val="Heading 10"/>
    <w:basedOn w:val="Heading"/>
    <w:next w:val="a0"/>
    <w:qFormat/>
    <w:pPr>
      <w:spacing w:before="60" w:after="60"/>
      <w:ind w:firstLine="0"/>
      <w:outlineLvl w:val="8"/>
    </w:pPr>
    <w:rPr>
      <w:b/>
      <w:bCs/>
      <w:sz w:val="21"/>
      <w:szCs w:val="2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2976</Words>
  <Characters>16968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Охрана труда – Годлевский</vt:lpstr>
    </vt:vector>
  </TitlesOfParts>
  <Company>UA</Company>
  <LinksUpToDate>false</LinksUpToDate>
  <CharactersWithSpaces>19905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Охрана труда – Годлевский</dc:title>
  <dc:subject/>
  <dc:creator>Максим Годлевский</dc:creator>
  <dc:description/>
  <cp:lastModifiedBy>Martseniuk Bogdan</cp:lastModifiedBy>
  <cp:revision>3</cp:revision>
  <dcterms:created xsi:type="dcterms:W3CDTF">2020-10-19T16:18:00Z</dcterms:created>
  <dcterms:modified xsi:type="dcterms:W3CDTF">2020-10-19T16:20:00Z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