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RobotAIGeek Sunday Wrap-Up: Review Summary</w:t>
      </w:r>
    </w:p>
    <w:p>
      <w:r>
        <w:t>Run Date: 2 August 2026 (Asia/Shanghai)</w:t>
      </w:r>
    </w:p>
    <w:p>
      <w:r>
        <w:t>Run Type: Standard Weekly Wrap-Up</w:t>
      </w:r>
    </w:p>
    <w:p>
      <w:r>
        <w:t>Coverage Period: 26 July - 1 August 2026</w:t>
      </w:r>
    </w:p>
    <w:p>
      <w:r>
        <w:t>Generated: 2026-08-02 01:24 UTC</w:t>
      </w:r>
    </w:p>
    <w:p>
      <w:pPr>
        <w:pStyle w:val="Heading2"/>
      </w:pPr>
      <w:r>
        <w:t>Compliance Results</w:t>
      </w:r>
    </w:p>
    <w:p>
      <w:r>
        <w:t>All 4 articles passed the automated mechanical compliance validator on all 14 checks.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Article</w:t>
            </w:r>
          </w:p>
        </w:tc>
        <w:tc>
          <w:tcPr>
            <w:tcW w:type="dxa" w:w="2160"/>
          </w:tcPr>
          <w:p>
            <w:r>
              <w:t>Word Count</w:t>
            </w:r>
          </w:p>
        </w:tc>
        <w:tc>
          <w:tcPr>
            <w:tcW w:type="dxa" w:w="2160"/>
          </w:tcPr>
          <w:p>
            <w:r>
              <w:t>Compliance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1: Funding</w:t>
            </w:r>
          </w:p>
        </w:tc>
        <w:tc>
          <w:tcPr>
            <w:tcW w:type="dxa" w:w="2160"/>
          </w:tcPr>
          <w:p>
            <w:r>
              <w:t>1229</w:t>
            </w:r>
          </w:p>
        </w:tc>
        <w:tc>
          <w:tcPr>
            <w:tcW w:type="dxa" w:w="2160"/>
          </w:tcPr>
          <w:p>
            <w:r>
              <w:t>ALL PASS</w:t>
            </w:r>
          </w:p>
        </w:tc>
        <w:tc>
          <w:tcPr>
            <w:tcW w:type="dxa" w:w="2160"/>
          </w:tcPr>
          <w:p>
            <w:r>
              <w:t>Ready</w:t>
            </w:r>
          </w:p>
        </w:tc>
      </w:tr>
      <w:tr>
        <w:tc>
          <w:tcPr>
            <w:tcW w:type="dxa" w:w="2160"/>
          </w:tcPr>
          <w:p>
            <w:r>
              <w:t>2: Exhibitions</w:t>
            </w:r>
          </w:p>
        </w:tc>
        <w:tc>
          <w:tcPr>
            <w:tcW w:type="dxa" w:w="2160"/>
          </w:tcPr>
          <w:p>
            <w:r>
              <w:t>1246</w:t>
            </w:r>
          </w:p>
        </w:tc>
        <w:tc>
          <w:tcPr>
            <w:tcW w:type="dxa" w:w="2160"/>
          </w:tcPr>
          <w:p>
            <w:r>
              <w:t>ALL PASS</w:t>
            </w:r>
          </w:p>
        </w:tc>
        <w:tc>
          <w:tcPr>
            <w:tcW w:type="dxa" w:w="2160"/>
          </w:tcPr>
          <w:p>
            <w:r>
              <w:t>Ready</w:t>
            </w:r>
          </w:p>
        </w:tc>
      </w:tr>
      <w:tr>
        <w:tc>
          <w:tcPr>
            <w:tcW w:type="dxa" w:w="2160"/>
          </w:tcPr>
          <w:p>
            <w:r>
              <w:t>3: Technology</w:t>
            </w:r>
          </w:p>
        </w:tc>
        <w:tc>
          <w:tcPr>
            <w:tcW w:type="dxa" w:w="2160"/>
          </w:tcPr>
          <w:p>
            <w:r>
              <w:t>1252</w:t>
            </w:r>
          </w:p>
        </w:tc>
        <w:tc>
          <w:tcPr>
            <w:tcW w:type="dxa" w:w="2160"/>
          </w:tcPr>
          <w:p>
            <w:r>
              <w:t>ALL PASS</w:t>
            </w:r>
          </w:p>
        </w:tc>
        <w:tc>
          <w:tcPr>
            <w:tcW w:type="dxa" w:w="2160"/>
          </w:tcPr>
          <w:p>
            <w:r>
              <w:t>Ready</w:t>
            </w:r>
          </w:p>
        </w:tc>
      </w:tr>
      <w:tr>
        <w:tc>
          <w:tcPr>
            <w:tcW w:type="dxa" w:w="2160"/>
          </w:tcPr>
          <w:p>
            <w:r>
              <w:t>4: Economics</w:t>
            </w:r>
          </w:p>
        </w:tc>
        <w:tc>
          <w:tcPr>
            <w:tcW w:type="dxa" w:w="2160"/>
          </w:tcPr>
          <w:p>
            <w:r>
              <w:t>1225</w:t>
            </w:r>
          </w:p>
        </w:tc>
        <w:tc>
          <w:tcPr>
            <w:tcW w:type="dxa" w:w="2160"/>
          </w:tcPr>
          <w:p>
            <w:r>
              <w:t>ALL PASS</w:t>
            </w:r>
          </w:p>
        </w:tc>
        <w:tc>
          <w:tcPr>
            <w:tcW w:type="dxa" w:w="2160"/>
          </w:tcPr>
          <w:p>
            <w:r>
              <w:t>Ready</w:t>
            </w:r>
          </w:p>
        </w:tc>
      </w:tr>
    </w:tbl>
    <w:p>
      <w:pPr>
        <w:pStyle w:val="Heading2"/>
      </w:pPr>
      <w:r>
        <w:t>Deduplication Notes</w:t>
      </w:r>
    </w:p>
    <w:p>
      <w:r>
        <w:t>The following topics from the reporting period were already covered on robotaigeek.com and were aggregated rather than repeated: Tesla VR treadmill (Jul 28 news), Korea 300kg gripper (Jul 28 news), China open-source reasoning model (Jul 28 news), Android creator robot OS (Jul 29 news), German gas-spring maker (Jul 29 news), Harper Adams farm robots (Jul 31 news), and the China IPO Gauntlet article (Aug 1). These were referenced for context only.</w:t>
      </w:r>
    </w:p>
    <w:p>
      <w:pPr>
        <w:pStyle w:val="Heading2"/>
      </w:pPr>
      <w:r>
        <w:t>Variance Engine Assignments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Article</w:t>
            </w:r>
          </w:p>
        </w:tc>
        <w:tc>
          <w:tcPr>
            <w:tcW w:type="dxa" w:w="2160"/>
          </w:tcPr>
          <w:p>
            <w:r>
              <w:t>Opening Style</w:t>
            </w:r>
          </w:p>
        </w:tc>
        <w:tc>
          <w:tcPr>
            <w:tcW w:type="dxa" w:w="2160"/>
          </w:tcPr>
          <w:p>
            <w:r>
              <w:t>Persona</w:t>
            </w:r>
          </w:p>
        </w:tc>
        <w:tc>
          <w:tcPr>
            <w:tcW w:type="dxa" w:w="2160"/>
          </w:tcPr>
          <w:p>
            <w:r>
              <w:t>Closing Style</w:t>
            </w:r>
          </w:p>
        </w:tc>
      </w:tr>
      <w:tr>
        <w:tc>
          <w:tcPr>
            <w:tcW w:type="dxa" w:w="2160"/>
          </w:tcPr>
          <w:p>
            <w:r>
              <w:t>1: Funding</w:t>
            </w:r>
          </w:p>
        </w:tc>
        <w:tc>
          <w:tcPr>
            <w:tcW w:type="dxa" w:w="2160"/>
          </w:tcPr>
          <w:p>
            <w:r>
              <w:t>Data Lead</w:t>
            </w:r>
          </w:p>
        </w:tc>
        <w:tc>
          <w:tcPr>
            <w:tcW w:type="dxa" w:w="2160"/>
          </w:tcPr>
          <w:p>
            <w:r>
              <w:t>Market Realist</w:t>
            </w:r>
          </w:p>
        </w:tc>
        <w:tc>
          <w:tcPr>
            <w:tcW w:type="dxa" w:w="2160"/>
          </w:tcPr>
          <w:p>
            <w:r>
              <w:t>Declarative Verdict</w:t>
            </w:r>
          </w:p>
        </w:tc>
      </w:tr>
      <w:tr>
        <w:tc>
          <w:tcPr>
            <w:tcW w:type="dxa" w:w="2160"/>
          </w:tcPr>
          <w:p>
            <w:r>
              <w:t>2: Exhibitions</w:t>
            </w:r>
          </w:p>
        </w:tc>
        <w:tc>
          <w:tcPr>
            <w:tcW w:type="dxa" w:w="2160"/>
          </w:tcPr>
          <w:p>
            <w:r>
              <w:t>Event Anchor</w:t>
            </w:r>
          </w:p>
        </w:tc>
        <w:tc>
          <w:tcPr>
            <w:tcW w:type="dxa" w:w="2160"/>
          </w:tcPr>
          <w:p>
            <w:r>
              <w:t>Supply Chain Operator</w:t>
            </w:r>
          </w:p>
        </w:tc>
        <w:tc>
          <w:tcPr>
            <w:tcW w:type="dxa" w:w="2160"/>
          </w:tcPr>
          <w:p>
            <w:r>
              <w:t>Forward-Looking Signpost</w:t>
            </w:r>
          </w:p>
        </w:tc>
      </w:tr>
      <w:tr>
        <w:tc>
          <w:tcPr>
            <w:tcW w:type="dxa" w:w="2160"/>
          </w:tcPr>
          <w:p>
            <w:r>
              <w:t>3: Technology</w:t>
            </w:r>
          </w:p>
        </w:tc>
        <w:tc>
          <w:tcPr>
            <w:tcW w:type="dxa" w:w="2160"/>
          </w:tcPr>
          <w:p>
            <w:r>
              <w:t>Structural Observation</w:t>
            </w:r>
          </w:p>
        </w:tc>
        <w:tc>
          <w:tcPr>
            <w:tcW w:type="dxa" w:w="2160"/>
          </w:tcPr>
          <w:p>
            <w:r>
              <w:t>Technical Translator</w:t>
            </w:r>
          </w:p>
        </w:tc>
        <w:tc>
          <w:tcPr>
            <w:tcW w:type="dxa" w:w="2160"/>
          </w:tcPr>
          <w:p>
            <w:r>
              <w:t>Scene Close</w:t>
            </w:r>
          </w:p>
        </w:tc>
      </w:tr>
      <w:tr>
        <w:tc>
          <w:tcPr>
            <w:tcW w:type="dxa" w:w="2160"/>
          </w:tcPr>
          <w:p>
            <w:r>
              <w:t>4: Economics</w:t>
            </w:r>
          </w:p>
        </w:tc>
        <w:tc>
          <w:tcPr>
            <w:tcW w:type="dxa" w:w="2160"/>
          </w:tcPr>
          <w:p>
            <w:r>
              <w:t>Tension Frame</w:t>
            </w:r>
          </w:p>
        </w:tc>
        <w:tc>
          <w:tcPr>
            <w:tcW w:type="dxa" w:w="2160"/>
          </w:tcPr>
          <w:p>
            <w:r>
              <w:t>Commercial Operator</w:t>
            </w:r>
          </w:p>
        </w:tc>
        <w:tc>
          <w:tcPr>
            <w:tcW w:type="dxa" w:w="2160"/>
          </w:tcPr>
          <w:p>
            <w:r>
              <w:t>Statistic Close</w:t>
            </w:r>
          </w:p>
        </w:tc>
      </w:tr>
    </w:tbl>
    <w:p>
      <w:pPr>
        <w:pStyle w:val="Heading2"/>
      </w:pPr>
      <w:r>
        <w:t>XLSX Assets</w:t>
      </w:r>
    </w:p>
    <w:p>
      <w:r>
        <w:t>No standalone XLSX assets required for this weekly run. The Sunday Tracker XLSX is the only spreadsheet deliverable.</w:t>
      </w:r>
    </w:p>
    <w:p>
      <w:pPr>
        <w:pStyle w:val="Heading2"/>
      </w:pPr>
      <w:r>
        <w:t>Notes</w:t>
      </w:r>
    </w:p>
    <w:p>
      <w:r>
        <w:t>No pre-staged companion article for this run date. The 26 July companion article was delivered in the prior run.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