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Robotics Funding Wrap-Up: Capital Moves to Infrastructure</w:t>
      </w:r>
    </w:p>
    <w:p>
      <w:pPr>
        <w:pStyle w:val="Heading2"/>
      </w:pPr>
      <w:r>
        <w:t>Executive Summary</w:t>
      </w:r>
    </w:p>
    <w:p>
      <w:r>
        <w:t>The week ending August 1, 2026, marked a structural shift in robotics financing as infrastructure-scale capital eclipsed traditional venture rounds. With an 845 million dollar acquisition by Procore and a 1 billion dollar Nvidia commitment in Korea, the sector's financial center of gravity has moved from startup deployment to national and industrial infrastructure.</w:t>
      </w:r>
    </w:p>
    <w:p>
      <w:r>
        <w:t>Global robotics startups raised approximately 18.8 billion dollars in the first half of 2026, already surpassing the entire total for 2025. Yet the final week of July revealed that the character of that capital is changing rapidly. The venture capital engine that built the current crop of embodied AI companies is being overtaken by a different class of investor: infrastructure funds, sovereign wealth managers, and the largest technology platforms. The robot economy has stopped asking venture capital for permission to build, turning instead to the entities capable of financing physical deployment at national scale.</w:t>
      </w:r>
    </w:p>
    <w:p>
      <w:r>
        <w:t>This transition was quantified in San Francisco on July 24, when the Korea AI Summit yielded 950 billion dollars in announced initiatives covering physical AI, semiconductor supply, and production cooperation. Within that total, Nvidia committed 1 billion dollars to Naver Corporation, Korea's internet giant, to expand an artificial intelligence factory at the GAK Sejong data center. The facility will scale from 55 megawatts to 200 megawatts by 2028, supported by a nonbinding term sheet from Brookfield Asset Management for up to 9 billion dollars. The capital is not buying robots; it is buying the compute infrastructure required to train the foundation models that will eventually govern them.</w:t>
      </w:r>
    </w:p>
    <w:p>
      <w:r>
        <w:t>The shift from venture rounds to infrastructure capital changes what gets built and who captures the value. Venture capital demands a liquidity event within seven to ten years, forcing startups into rapid deployment cycles and aggressive valuation step-ups. Infrastructure capital, particularly when managed by entities like Brookfield, operates on multi-decade horizons and targets stable, utility-like returns. By funding the data centers and power generation required for physical AI, these investors are treating robotics not as a software product but as a heavy industrial asset class.</w:t>
      </w:r>
    </w:p>
    <w:p>
      <w:pPr>
        <w:pStyle w:val="Heading2"/>
      </w:pPr>
      <w:r>
        <w:t>The Consolidation of the Built Environment</w:t>
      </w:r>
    </w:p>
    <w:p>
      <w:r>
        <w:t>While sovereign and infrastructure capital funded the compute layer, strategic buyers moved to consolidate the data layer. On July 29, Procore Technologies, the dominant construction management software provider, agreed to acquire DroneDeploy for 845 million dollars in cash. The transaction merges Procore's project management platform with DroneDeploy's reality capture and robotics capabilities, which encompass 20 trillion square feet of visual data across three million jobsites globally.</w:t>
      </w:r>
    </w:p>
    <w:p>
      <w:r>
        <w:t>DroneDeploy, founded in San Francisco, builds software that translates aerial and ground-based imagery from drones and robots into actionable site intelligence. Its acquisition by Procore is not a speculative bet on future hardware; it is the integration of physical data capture into the established workflow of the construction industry. The deal demonstrates that the highest-value exits in the current market belong to companies that bridge the physical and digital worlds, turning unstructured visual data into structured operational intelligence. The premium is placed on the dataset and the workflow integration, not the drone itself.</w:t>
      </w:r>
    </w:p>
    <w:p>
      <w:r>
        <w:t>This consolidation trend extends beyond construction. As the core hardware for autonomous movement becomes commoditized, the defensible moat shifts to the software platforms that manage fleets and process their data. The Procore transaction signals to the market that standalone reality capture companies must either achieve massive scale or integrate into broader enterprise resource planning systems.</w:t>
      </w:r>
    </w:p>
    <w:p>
      <w:r>
        <w:t>The 845 million dollar price tag also establishes a valuation benchmark for the reality capture segment. DroneDeploy's dataset of 20 trillion square feet of visual data, accumulated across more than a decade of operations, is priced at roughly four cents per square foot of captured terrain. This metric will become the reference point for every subsequent acquisition in the sector. Companies that have accumulated comparable visual datasets but lack the workflow integration will find themselves valued at a discount to this benchmark, while those embedded in enterprise platforms will command a premium. The message to founders is unambiguous: the value resides in the integration, not the capture.</w:t>
      </w:r>
    </w:p>
    <w:p>
      <w:r>
        <w:t>For the broader robotics ecosystem, the Procore deal confirms that the construction vertical is now a primary deployment market for autonomous systems. The industry's acute labor shortage, combined with the regulatory pressure to document every phase of a build, creates a demand signal that hardware manufacturers can underwrite with confidence. The robots and drones that capture this data are becoming commoditized inputs; the platform that interprets and acts on the data is the value capture point.</w:t>
      </w:r>
    </w:p>
    <w:p>
      <w:pPr>
        <w:pStyle w:val="Heading2"/>
      </w:pPr>
      <w:r>
        <w:t>Venture Capital Retreats to the Niche</w:t>
      </w:r>
    </w:p>
    <w:p>
      <w:r>
        <w:t>Traditional venture capital has not disappeared, but it is retreating to specific, defensible niches where hardware innovation still commands a premium. On July 29, UNIT AI announced a 12 million dollar funding round co-led by Prologis Ventures, Dynamo Ventures, and Ground Up Ventures. The company is building modular e-commerce automation systems designed for rapid deployment in fulfillment and returns processing.</w:t>
      </w:r>
    </w:p>
    <w:p>
      <w:r>
        <w:t>UNIT AI, based in the United States and founded by industry veterans from Caja Robotics and Plus One Robotics, focuses on systems that can be installed in weeks without requiring full facility redesigns. This approach contrasts sharply with the massive, capital-intensive automated warehouses built by early industry leaders. The venture backing for UNIT AI indicates that while infrastructure funds finance the macro-level shift to physical AI, venture capital is targeting the micro-level friction points in existing supply chains. The thesis is that flexible, modular automation will capture the mid-market logistics operators who cannot afford bespoke facility overhauls.</w:t>
      </w:r>
    </w:p>
    <w:p>
      <w:r>
        <w:t>Similarly, the defense sector continues to attract specialized capital. XTEND, a company providing the XOS operating system for tactical drones, announced it has secured over 27 million dollars in defense orders since February 2026 and advanced to the next stage of a 1 billion dollar Drone Dominance Program. The company is preparing for a public listing on the New York Stock Exchange in the third quarter following a 1.5 billion dollar business combination. In defense, as in logistics, the capital is flowing toward proven operational systems rather than experimental hardware platforms.</w:t>
      </w:r>
    </w:p>
    <w:p>
      <w:pPr>
        <w:pStyle w:val="Heading2"/>
      </w:pPr>
      <w:r>
        <w:t>The Emerging Capital Hierarchy</w:t>
      </w:r>
    </w:p>
    <w:p>
      <w:r>
        <w:t>The capital allocation patterns of late July 2026 dictate the trajectory of the robotics industry for the next five years. The era of the generalist robotics startup, funded by venture capital to solve unbounded problems, is closing. It is being replaced by a stratified market where infrastructure funds build the compute layer, strategic acquirers consolidate the data layer, and venture capital targets highly specific, modular deployment niches.</w:t>
      </w:r>
    </w:p>
    <w:p>
      <w:r>
        <w:t>This stratification creates a clear hierarchy of returns. At the top, infrastructure investors capture the most predictable cash flows by owning the physical assets that every participant in the ecosystem must rent: compute, power, and connectivity. In the middle, strategic acquirers like Procore capture the workflow integration premium by embedding robotic data into existing enterprise decision-making processes. At the bottom, venture-backed startups compete for deployment contracts in specific verticals, bearing the highest risk but also the highest potential multiple if they achieve category dominance.</w:t>
      </w:r>
    </w:p>
    <w:p>
      <w:r>
        <w:t>The implication for robotics founders is that the path to a venture-scale exit has narrowed considerably. The generalist approach of building a humanoid platform and seeking applications across multiple verticals is no longer fundable at the early stage. Investors demand vertical specificity, proven unit economics, and a clear path to integration with the infrastructure and platform layers above. The smart money has already chosen its lanes.</w:t>
      </w:r>
    </w:p>
    <w:p>
      <w:pPr/>
      <w:r>
        <w:rPr>
          <w:i/>
        </w:rPr>
        <w:t>This analysis synthesizes company statements and public market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