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RobotAIGeek Sunday Intelligence &amp; Industry Wrap-Up Agent</w:t>
      </w:r>
    </w:p>
    <w:p>
      <w:r>
        <w:t>Use this skill to produce exactly four analytical Sunday articles and their associated upload package. Prioritize collective significance over item-by-item repetition.</w:t>
      </w:r>
    </w:p>
    <w:p>
      <w:pPr>
        <w:pStyle w:val="Heading2"/>
      </w:pPr>
      <w:r>
        <w:t>Required Startup Sequence</w:t>
      </w:r>
    </w:p>
    <w:p>
      <w:r>
        <w:t>1. Read references/article_variance_engine.md before outlining articles.</w:t>
      </w:r>
    </w:p>
    <w:p>
      <w:r>
        <w:t>2. Determine the run type. Use Quarterly on the last Sunday of March, June, September, or December; otherwise use Monthly on the last Sunday of any other month; otherwise use Standard Weekly. Execute only one run type.</w:t>
      </w:r>
    </w:p>
    <w:p>
      <w:r>
        <w:t>3. Inspect the project shared files for a content calendar or news brief matching the run date. Treat an older calendar as context only, not an active assignment.</w:t>
      </w:r>
    </w:p>
    <w:p>
      <w:r>
        <w:t>4. Audit https://www.robotaigeek.com/ across News, Articles, Videos, homepage, and sitemap for the reporting period. Record material already published, then convert it into a deduplication plan.</w:t>
      </w:r>
    </w:p>
    <w:p>
      <w:r>
        <w:t>5. Scan authoritative first-party follow-up sources for each major theme. Prefer company newsrooms, public filings, government agencies, official event pages, and original product or order pages. Exclude a precise claim when no primary source substantiates it.</w:t>
      </w:r>
    </w:p>
    <w:p>
      <w:r>
        <w:t>6. Create a synthesis matrix before drafting. Assign a distinct thesis, persona, opening mode, evidence base, hero image, and ending style to each article.</w:t>
      </w:r>
    </w:p>
    <w:p>
      <w:r>
        <w:t>7. Generate neutral, non-branded hero images. Do not use company logos, wordmarks, or generated readable text.</w:t>
      </w:r>
    </w:p>
    <w:p>
      <w:r>
        <w:t>8. Draft, mechanically validate, and package the deliverables.</w:t>
      </w:r>
    </w:p>
    <w:p>
      <w:pPr>
        <w:pStyle w:val="Heading2"/>
      </w:pPr>
      <w:r>
        <w:t>Run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type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Coverage window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Last Sunday of March, June, September, or December</w:t>
            </w:r>
          </w:p>
        </w:tc>
        <w:tc>
          <w:tcPr>
            <w:tcW w:type="dxa" w:w="2160"/>
          </w:tcPr>
          <w:p>
            <w:r>
              <w:t>Previous calendar quarter</w:t>
            </w:r>
          </w:p>
        </w:tc>
        <w:tc>
          <w:tcPr>
            <w:tcW w:type="dxa" w:w="2160"/>
          </w:tcPr>
          <w:p>
            <w:r>
              <w:t>4 quarterly analytical articles</w:t>
            </w:r>
          </w:p>
        </w:tc>
      </w:tr>
      <w:tr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Last Sunday of any other month</w:t>
            </w:r>
          </w:p>
        </w:tc>
        <w:tc>
          <w:tcPr>
            <w:tcW w:type="dxa" w:w="2160"/>
          </w:tcPr>
          <w:p>
            <w:r>
              <w:t>Previous calendar month</w:t>
            </w:r>
          </w:p>
        </w:tc>
        <w:tc>
          <w:tcPr>
            <w:tcW w:type="dxa" w:w="2160"/>
          </w:tcPr>
          <w:p>
            <w:r>
              <w:t>4 monthly analytical articles</w:t>
            </w:r>
          </w:p>
        </w:tc>
      </w:tr>
      <w:tr>
        <w:tc>
          <w:tcPr>
            <w:tcW w:type="dxa" w:w="2160"/>
          </w:tcPr>
          <w:p>
            <w:r>
              <w:t>Standard Weekly</w:t>
            </w:r>
          </w:p>
        </w:tc>
        <w:tc>
          <w:tcPr>
            <w:tcW w:type="dxa" w:w="2160"/>
          </w:tcPr>
          <w:p>
            <w:r>
              <w:t>Any other Sunday</w:t>
            </w:r>
          </w:p>
        </w:tc>
        <w:tc>
          <w:tcPr>
            <w:tcW w:type="dxa" w:w="2160"/>
          </w:tcPr>
          <w:p>
            <w:r>
              <w:t>Previous seven days</w:t>
            </w:r>
          </w:p>
        </w:tc>
        <w:tc>
          <w:tcPr>
            <w:tcW w:type="dxa" w:w="2160"/>
          </w:tcPr>
          <w:p>
            <w:r>
              <w:t>4 weekly analytical articles</w:t>
            </w:r>
          </w:p>
        </w:tc>
      </w:tr>
    </w:tbl>
    <w:p>
      <w:pPr>
        <w:pStyle w:val="Heading2"/>
      </w:pPr>
      <w:r>
        <w:t>Four Required Articles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Core question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Funding &amp; Capital Allocation Wrap-Up</w:t>
            </w:r>
          </w:p>
        </w:tc>
        <w:tc>
          <w:tcPr>
            <w:tcW w:type="dxa" w:w="2880"/>
          </w:tcPr>
          <w:p>
            <w:r>
              <w:t>What does the week’s capital activity reveal about ownership, validation, factory integration, and commercial readiness?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Global Exhibitions &amp; Ecosystem Wrap-Up</w:t>
            </w:r>
          </w:p>
        </w:tc>
        <w:tc>
          <w:tcPr>
            <w:tcW w:type="dxa" w:w="2880"/>
          </w:tcPr>
          <w:p>
            <w:r>
              <w:t>What does the exhibition or ecosystem signal reveal about the deployable robotics stack, supply chain, and integration threshold?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Technology Developments to Watch</w:t>
            </w:r>
          </w:p>
        </w:tc>
        <w:tc>
          <w:tcPr>
            <w:tcW w:type="dxa" w:w="2880"/>
          </w:tcPr>
          <w:p>
            <w:r>
              <w:t>Which technical changes affect data capture, simulation, control, validation, and real deployment rather than only demonstrations?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Pricing &amp; Commercial Economics Watch</w:t>
            </w:r>
          </w:p>
        </w:tc>
        <w:tc>
          <w:tcPr>
            <w:tcW w:type="dxa" w:w="2880"/>
          </w:tcPr>
          <w:p>
            <w:r>
              <w:t>What do pricing, RaaS, labor, permits, utilization, maintenance, and service constraints say about buyer economics?</w:t>
            </w:r>
          </w:p>
        </w:tc>
      </w:tr>
    </w:tbl>
    <w:p>
      <w:pPr>
        <w:pStyle w:val="Heading2"/>
      </w:pPr>
      <w:r>
        <w:t>Required Article File Structure</w:t>
      </w:r>
    </w:p>
    <w:p>
      <w:r>
        <w:t>Every article must use this sequence:</w:t>
      </w:r>
    </w:p>
    <w:p>
      <w:pPr/>
      <w:r>
        <w:rPr>
          <w:rFonts w:ascii="Courier New" w:hAnsi="Courier New"/>
          <w:sz w:val="18"/>
        </w:rPr>
        <w:t>Meta Title: [60 characters or fewer]</w:t>
      </w:r>
    </w:p>
    <w:p>
      <w:pPr/>
      <w:r>
        <w:rPr>
          <w:rFonts w:ascii="Courier New" w:hAnsi="Courier New"/>
          <w:sz w:val="18"/>
        </w:rPr>
        <w:t>Meta Description: [150 to 160 characters]</w:t>
      </w:r>
    </w:p>
    <w:p>
      <w:pPr/>
      <w:r>
        <w:rPr>
          <w:rFonts w:ascii="Courier New" w:hAnsi="Courier New"/>
          <w:sz w:val="18"/>
        </w:rPr>
        <w:t>Hero Image: [filename only]</w:t>
      </w:r>
    </w:p>
    <w:p>
      <w:pPr/>
      <w:r>
        <w:rPr>
          <w:rFonts w:ascii="Courier New" w:hAnsi="Courier New"/>
          <w:sz w:val="18"/>
        </w:rPr>
        <w:t>Category: [pillar]</w:t>
      </w:r>
    </w:p>
    <w:p>
      <w:pPr/>
      <w:r>
        <w:rPr>
          <w:rFonts w:ascii="Courier New" w:hAnsi="Courier New"/>
          <w:sz w:val="18"/>
        </w:rPr>
        <w:t>Slug: [url-friendly slug]</w:t>
      </w:r>
    </w:p>
    <w:p>
      <w:pPr/>
      <w:r>
        <w:rPr>
          <w:rFonts w:ascii="Courier New" w:hAnsi="Courier New"/>
          <w:sz w:val="18"/>
        </w:rPr>
        <w:t>Tags: [comma-separated]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**Executive Summary**</w:t>
      </w:r>
    </w:p>
    <w:p>
      <w:pPr/>
      <w:r>
        <w:rPr>
          <w:rFonts w:ascii="Courier New" w:hAnsi="Courier New"/>
          <w:sz w:val="18"/>
        </w:rPr>
        <w:t>[2–3 sentences; internal CMS Summary field only]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[Public article body, approximately 1,500 words]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This analysis synthesizes company statements and public market activity.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**Internal Evidence Note**</w:t>
      </w:r>
    </w:p>
    <w:p>
      <w:pPr/>
      <w:r>
        <w:rPr>
          <w:rFonts w:ascii="Courier New" w:hAnsi="Courier New"/>
          <w:sz w:val="18"/>
        </w:rPr>
        <w:t>Source: https://...</w:t>
      </w:r>
    </w:p>
    <w:p>
      <w:r>
        <w:t>The Executive Summary and Internal Evidence Note are internal upload controls. They are not part of the published article body.</w:t>
      </w:r>
    </w:p>
    <w:p>
      <w:pPr>
        <w:pStyle w:val="Heading2"/>
      </w:pPr>
      <w:r>
        <w:t>CMS Upload Block</w:t>
      </w:r>
    </w:p>
    <w:p>
      <w:r>
        <w:t>In addition to the article file, generate a standalone CMS Upload Block for each article. This block provides the three fields required for direct copy-paste into the RobotAIGeek CMS upload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One paragraph, 2-3 sentences. Identical to the Executive Summary in the article file. Used for the CMS "Summary" field and article preview cards.</w:t>
            </w:r>
          </w:p>
        </w:tc>
      </w:tr>
      <w:tr>
        <w:tc>
          <w:tcPr>
            <w:tcW w:type="dxa" w:w="4320"/>
          </w:tcPr>
          <w:p>
            <w:r>
              <w:t>Meta Title</w:t>
            </w:r>
          </w:p>
        </w:tc>
        <w:tc>
          <w:tcPr>
            <w:tcW w:type="dxa" w:w="4320"/>
          </w:tcPr>
          <w:p>
            <w:r>
              <w:t>60 characters or fewer. Identical to the Meta Title in the article file header.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150-160 characters. Identical to the Meta Description in the article file header.</w:t>
            </w:r>
          </w:p>
        </w:tc>
      </w:tr>
    </w:tbl>
    <w:p>
      <w:r>
        <w:t>Deliver the CMS Upload Block in two places:</w:t>
      </w:r>
    </w:p>
    <w:p>
      <w:r>
        <w:t>1. In the Review Summary DOCX: Include a dedicated "CMS Upload Blocks" section listing all four articles with their Summary, Meta Title, and Meta Description ready for copy-paste.</w:t>
      </w:r>
    </w:p>
    <w:p>
      <w:r>
        <w:t>2. In the package README: Include the same block so the user can quickly locate upload-ready text without opening individual files.</w:t>
      </w:r>
    </w:p>
    <w:p>
      <w:r>
        <w:t>This ensures the user does not need to open each article file to extract the fields required for CMS upload.</w:t>
      </w:r>
    </w:p>
    <w:p>
      <w:pPr>
        <w:pStyle w:val="Heading2"/>
      </w:pPr>
      <w:r>
        <w:t>Gold-Standard Editorial Rules</w:t>
      </w:r>
    </w:p>
    <w:p>
      <w:r>
        <w:t>1. Primary authority only. State facts directly in the public body. Do not cite or link Reuters, Bloomberg, PR Newswire, or other third-party outlets in the body. Put all URLs in the Internal Evidence Note only.</w:t>
      </w:r>
    </w:p>
    <w:p>
      <w:r>
        <w:t>2. Deduplicate intelligently. Do not restate the site’s individual weekly stories. Aggregate them, identify a system-level pattern, and explain the commercial or technical consequence.</w:t>
      </w:r>
    </w:p>
    <w:p>
      <w:r>
        <w:t>3. Use thematic headings. Do not use generic headings such as “What Happened,” “Why It Matters,” “The Bottom Line,” “Strategic Outlook,” “Key Development,” or “Company Background.”</w:t>
      </w:r>
    </w:p>
    <w:p>
      <w:r>
        <w:t>4. Apply the startup nut graf. In the first two body paragraphs, introduce each startup or lesser-known company with HQ location, core product or technology, and market niche.</w:t>
      </w:r>
    </w:p>
    <w:p>
      <w:r>
        <w:t>5. Zero self-reference. Never use the publication name, a publication byline, or a publication-branded closing inside public article body text.</w:t>
      </w:r>
    </w:p>
    <w:p>
      <w:r>
        <w:t>6. No em dashes or parentheses. Do not use em dashes or parenthetical constructions in the public article body.</w:t>
      </w:r>
    </w:p>
    <w:p>
      <w:r>
        <w:t>7. Premium opening. Weave the market reality, structural shift, and implication into the first body paragraph without a labelled header.</w:t>
      </w:r>
    </w:p>
    <w:p>
      <w:r>
        <w:t>8. Conservative claim scope. Label vendor-reported metrics, orders, shipments, or benchmarks as company statements in substance. Do not turn a vendor price example, a consumer subscription, or a permit rule into a market-wide conclusion.</w:t>
      </w:r>
    </w:p>
    <w:p>
      <w:r>
        <w:t>9. Verification sentence placement. Place the exact unlabelled sentence This analysis synthesizes company statements and public market activity. immediately before the Internal Evidence Note.</w:t>
      </w:r>
    </w:p>
    <w:p>
      <w:pPr>
        <w:pStyle w:val="Heading2"/>
      </w:pPr>
      <w:r>
        <w:t>Variance Engine</w:t>
      </w:r>
    </w:p>
    <w:p>
      <w:r>
        <w:t>Follow the full instructions in references/article_variance_engine.md. Assign four distinct opening modes and four non-adjacent closing modes before drafting. A proven default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</w:t>
            </w:r>
          </w:p>
        </w:tc>
        <w:tc>
          <w:tcPr>
            <w:tcW w:type="dxa" w:w="2160"/>
          </w:tcPr>
          <w:p>
            <w:r>
              <w:t>Opening mode</w:t>
            </w:r>
          </w:p>
        </w:tc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Closing style</w:t>
            </w:r>
          </w:p>
        </w:tc>
      </w:tr>
      <w:tr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Data Lead</w:t>
            </w:r>
          </w:p>
        </w:tc>
        <w:tc>
          <w:tcPr>
            <w:tcW w:type="dxa" w:w="2160"/>
          </w:tcPr>
          <w:p>
            <w:r>
              <w:t>Market Realist</w:t>
            </w:r>
          </w:p>
        </w:tc>
        <w:tc>
          <w:tcPr>
            <w:tcW w:type="dxa" w:w="2160"/>
          </w:tcPr>
          <w:p>
            <w:r>
              <w:t>Declarative Verdict</w:t>
            </w:r>
          </w:p>
        </w:tc>
      </w:tr>
      <w:tr>
        <w:tc>
          <w:tcPr>
            <w:tcW w:type="dxa" w:w="2160"/>
          </w:tcPr>
          <w:p>
            <w:r>
              <w:t>Exhibitions</w:t>
            </w:r>
          </w:p>
        </w:tc>
        <w:tc>
          <w:tcPr>
            <w:tcW w:type="dxa" w:w="2160"/>
          </w:tcPr>
          <w:p>
            <w:r>
              <w:t>Event Anchor</w:t>
            </w:r>
          </w:p>
        </w:tc>
        <w:tc>
          <w:tcPr>
            <w:tcW w:type="dxa" w:w="2160"/>
          </w:tcPr>
          <w:p>
            <w:r>
              <w:t>Supply Chain Operator</w:t>
            </w:r>
          </w:p>
        </w:tc>
        <w:tc>
          <w:tcPr>
            <w:tcW w:type="dxa" w:w="2160"/>
          </w:tcPr>
          <w:p>
            <w:r>
              <w:t>Forward-Looking Signpost</w:t>
            </w:r>
          </w:p>
        </w:tc>
      </w:tr>
      <w:tr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Structural Observation</w:t>
            </w:r>
          </w:p>
        </w:tc>
        <w:tc>
          <w:tcPr>
            <w:tcW w:type="dxa" w:w="2160"/>
          </w:tcPr>
          <w:p>
            <w:r>
              <w:t>Technical Translator</w:t>
            </w:r>
          </w:p>
        </w:tc>
        <w:tc>
          <w:tcPr>
            <w:tcW w:type="dxa" w:w="2160"/>
          </w:tcPr>
          <w:p>
            <w:r>
              <w:t>Scene Close</w:t>
            </w:r>
          </w:p>
        </w:tc>
      </w:tr>
      <w:tr>
        <w:tc>
          <w:tcPr>
            <w:tcW w:type="dxa" w:w="2160"/>
          </w:tcPr>
          <w:p>
            <w:r>
              <w:t>Economics</w:t>
            </w:r>
          </w:p>
        </w:tc>
        <w:tc>
          <w:tcPr>
            <w:tcW w:type="dxa" w:w="2160"/>
          </w:tcPr>
          <w:p>
            <w:r>
              <w:t>Tension Frame</w:t>
            </w:r>
          </w:p>
        </w:tc>
        <w:tc>
          <w:tcPr>
            <w:tcW w:type="dxa" w:w="2160"/>
          </w:tcPr>
          <w:p>
            <w:r>
              <w:t>Commercial Operator</w:t>
            </w:r>
          </w:p>
        </w:tc>
        <w:tc>
          <w:tcPr>
            <w:tcW w:type="dxa" w:w="2160"/>
          </w:tcPr>
          <w:p>
            <w:r>
              <w:t>Statistic Close</w:t>
            </w:r>
          </w:p>
        </w:tc>
      </w:tr>
    </w:tbl>
    <w:p>
      <w:pPr>
        <w:pStyle w:val="Heading2"/>
      </w:pPr>
      <w:r>
        <w:t>Spreadsheet Assets</w:t>
      </w:r>
    </w:p>
    <w:p>
      <w:r>
        <w:t>Generate standalone XLSX assets only when an active content calendar requires them or the current evidence clearly supports a decision-useful asset. Examples include listing venue comparisons, demand maps, and RaaS versus human labor cost matrices. Do not create an unsupported spreadsheet merely to fill the package.</w:t>
      </w:r>
    </w:p>
    <w:p>
      <w:pPr>
        <w:pStyle w:val="Heading2"/>
      </w:pPr>
      <w:r>
        <w:t>Mechanical Validation</w:t>
      </w:r>
    </w:p>
    <w:p>
      <w:r>
        <w:t>Before packaging, validate all four Markdown drafts. Confirm:</w:t>
      </w:r>
    </w:p>
    <w:p>
      <w:r>
        <w:t>- All six metadata fields are present.</w:t>
      </w:r>
    </w:p>
    <w:p>
      <w:r>
        <w:t>- The public body is approximately 1,500 words. Use a defined tolerance such as 1,300 to 1,850 words.</w:t>
      </w:r>
    </w:p>
    <w:p>
      <w:r>
        <w:t>- The hero image file exists.</w:t>
      </w:r>
    </w:p>
    <w:p>
      <w:r>
        <w:t>- No public URL appears before the Internal Evidence Note.</w:t>
      </w:r>
    </w:p>
    <w:p>
      <w:r>
        <w:t>- No publication self-reference appears in the public body.</w:t>
      </w:r>
    </w:p>
    <w:p>
      <w:r>
        <w:t>- No em dash or parentheses appear in the public body.</w:t>
      </w:r>
    </w:p>
    <w:p>
      <w:r>
        <w:t>- The verification sentence immediately precedes the evidence block.</w:t>
      </w:r>
    </w:p>
    <w:p>
      <w:r>
        <w:t>- The evidence block contains one or more source URLs.</w:t>
      </w:r>
    </w:p>
    <w:p>
      <w:r>
        <w:t>- The assigned closing style appears in the relevant article.</w:t>
      </w:r>
    </w:p>
    <w:p>
      <w:r>
        <w:t>Save the results as an article compliance report and include a concise pass/fail summary in the Review Summary DOCX.</w:t>
      </w:r>
    </w:p>
    <w:p>
      <w:pPr>
        <w:pStyle w:val="Heading2"/>
      </w:pPr>
      <w:r>
        <w:t>Required Deliverables</w:t>
      </w:r>
    </w:p>
    <w:p>
      <w:r>
        <w:t>Package the run in YYYYMMDD_RobotAIGeek_Sunday_WrapUp_Package.zip with:</w:t>
      </w:r>
    </w:p>
    <w:p>
      <w:r>
        <w:t>- 4 Markdown articles with metadata blocks.</w:t>
      </w:r>
    </w:p>
    <w:p>
      <w:r>
        <w:t>- 4 individual Word documents converted from the validated articles. Preserve the hero image, metadata, summary, headings, and evidence note for convenient upload.</w:t>
      </w:r>
    </w:p>
    <w:p>
      <w:r>
        <w:t>- A hero-image folder.</w:t>
      </w:r>
    </w:p>
    <w:p>
      <w:r>
        <w:t>- All required XLSX assets.</w:t>
      </w:r>
    </w:p>
    <w:p>
      <w:r>
        <w:t>- A Sunday Tracker XLSX covering articles, assets, validation, and package status.</w:t>
      </w:r>
    </w:p>
    <w:p>
      <w:r>
        <w:t>- A Review Summary DOCX with run classification, site-status audit, sources used, Variance Engine confirmation, compliance checklist, and editorial notes.</w:t>
      </w:r>
    </w:p>
    <w:p>
      <w:r>
        <w:t>- A short README mapping article files to hero images.</w:t>
      </w:r>
    </w:p>
    <w:p>
      <w:pPr>
        <w:pStyle w:val="Heading2"/>
      </w:pPr>
      <w:r>
        <w:t>Carry-Forward Learnings</w:t>
      </w:r>
    </w:p>
    <w:p>
      <w:r>
        <w:t>1. Use an automated validator before packaging. It prevents easily missed violations in URL placement, punctuation, word count, and required closing rules.</w:t>
      </w:r>
    </w:p>
    <w:p>
      <w:r>
        <w:t>2. Always create Word versions as a companion format, not as a late ad hoc conversion.</w:t>
      </w:r>
    </w:p>
    <w:p>
      <w:r>
        <w:t>3. If the week’s site coverage already explains RaaS, cobot pricing, or a show preview, shift the wrap-up into a higher-value lens such as risk allocation, utilization constraints, service coverage, permitting, or post-event ecosystem integration.</w:t>
      </w:r>
    </w:p>
    <w:p>
      <w:r>
        <w:t>4. Treat prior calendars as archived context unless they match the current run date.</w:t>
      </w:r>
    </w:p>
    <w:p>
      <w:r>
        <w:t>5. Use only generic editorial visuals with no logos, branding, or visible generated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