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896059">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896059">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896059">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896059">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896059">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896059">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2" w:name="_4lqp25cx7kth" w:colFirst="0" w:colLast="0"/>
      <w:bookmarkStart w:id="3" w:name="_Toc480580689"/>
      <w:bookmarkEnd w:id="2"/>
      <w:r>
        <w:lastRenderedPageBreak/>
        <w:t>Introducción</w:t>
      </w:r>
      <w:bookmarkEnd w:id="3"/>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4" w:name="_jtt03xnb5kvk" w:colFirst="0" w:colLast="0"/>
      <w:bookmarkStart w:id="5" w:name="_ovawxjoi07ia" w:colFirst="0" w:colLast="0"/>
      <w:bookmarkStart w:id="6" w:name="_Toc480580690"/>
      <w:bookmarkEnd w:id="4"/>
      <w:bookmarkEnd w:id="5"/>
      <w:r>
        <w:lastRenderedPageBreak/>
        <w:t>Requisitos del sistema</w:t>
      </w:r>
      <w:bookmarkEnd w:id="6"/>
    </w:p>
    <w:p w:rsidR="00E3766B" w:rsidRDefault="009D7490">
      <w:pPr>
        <w:pStyle w:val="Ttulo2"/>
        <w:contextualSpacing w:val="0"/>
      </w:pPr>
      <w:bookmarkStart w:id="7" w:name="_ou9c1t1ew5kf" w:colFirst="0" w:colLast="0"/>
      <w:bookmarkStart w:id="8" w:name="_Toc480580691"/>
      <w:bookmarkEnd w:id="7"/>
      <w:r>
        <w:t>Requisitos</w:t>
      </w:r>
      <w:r w:rsidR="00E16F07">
        <w:t xml:space="preserve"> </w:t>
      </w:r>
      <w:r>
        <w:t xml:space="preserve"> del nivel C</w:t>
      </w:r>
      <w:bookmarkEnd w:id="8"/>
    </w:p>
    <w:p w:rsidR="00E3766B" w:rsidRDefault="009D7490">
      <w:pPr>
        <w:pStyle w:val="Ttulo3"/>
        <w:contextualSpacing w:val="0"/>
      </w:pPr>
      <w:bookmarkStart w:id="9" w:name="_yri5qt6vk8go" w:colFirst="0" w:colLast="0"/>
      <w:bookmarkStart w:id="10" w:name="_Toc48058069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 el precio de los asientos de primera clase, el precio de los asientos de segunda clase, el número de asientos disponibles en primera clase y el número de asientos disponibles en segunda clase.</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primera clase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E3766B" w:rsidRDefault="009D7490">
      <w:pPr>
        <w:pStyle w:val="Ttulo3"/>
        <w:contextualSpacing w:val="0"/>
      </w:pPr>
      <w:bookmarkStart w:id="11" w:name="_mlwm9ciyga32" w:colFirst="0" w:colLast="0"/>
      <w:bookmarkStart w:id="12" w:name="_Toc480580693"/>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 xml:space="preserve">Hacer reservas en los vuelos que deseen siempre que hayan suficientes plazas libres en dicho vuelo.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 xml:space="preserve">El máximo, el mínimo y la media de vuelos por </w:t>
      </w:r>
      <w:r>
        <w:t>aeropuerto.</w:t>
      </w:r>
    </w:p>
    <w:p w:rsidR="00E3766B" w:rsidRDefault="009D7490">
      <w:pPr>
        <w:pStyle w:val="Ttulo3"/>
        <w:contextualSpacing w:val="0"/>
      </w:pPr>
      <w:bookmarkStart w:id="13" w:name="_sy8z1p4wd0sb" w:colFirst="0" w:colLast="0"/>
      <w:bookmarkStart w:id="14" w:name="_Toc480580694"/>
      <w:bookmarkEnd w:id="13"/>
      <w:r>
        <w:t>Requisitos 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lastRenderedPageBreak/>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5" w:name="_2xqaqbfco3ue" w:colFirst="0" w:colLast="0"/>
      <w:bookmarkStart w:id="16" w:name="_Toc480580695"/>
      <w:bookmarkEnd w:id="15"/>
      <w:r>
        <w:t>Requisitos del nivel B</w:t>
      </w:r>
      <w:bookmarkEnd w:id="16"/>
    </w:p>
    <w:p w:rsidR="00E3766B" w:rsidRDefault="009D7490">
      <w:pPr>
        <w:pStyle w:val="Ttulo3"/>
        <w:contextualSpacing w:val="0"/>
      </w:pPr>
      <w:bookmarkStart w:id="17" w:name="_8iurpq5sgf45" w:colFirst="0" w:colLast="0"/>
      <w:bookmarkStart w:id="18" w:name="_Toc480580696"/>
      <w:bookmarkEnd w:id="17"/>
      <w:r>
        <w:t>Requisitos de información</w:t>
      </w:r>
      <w:bookmarkEnd w:id="18"/>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 xml:space="preserve">Las aerolíneas deberán pagar una cuota para poder ofertar vuelos, </w:t>
      </w:r>
      <w:r w:rsidR="00AC6111">
        <w:t xml:space="preserve">dicha cuota será </w:t>
      </w:r>
      <w:r w:rsidR="00936D50">
        <w:t>aplicada cada vez que la aerolínea registre un vuelo</w:t>
      </w:r>
      <w:r>
        <w:t>. Para cada factura</w:t>
      </w:r>
      <w:r w:rsidR="00705A1D">
        <w:t xml:space="preserve"> mensual</w:t>
      </w:r>
      <w:r>
        <w:t xml:space="preserve"> de dicha cuota se va a registrar, la fecha de creación, la fecha de pago, la cuota total a pagar y una descripción en la que por defecto se indicará el número de vuelos que se han registrado desde la última factura realizada.</w:t>
      </w:r>
    </w:p>
    <w:p w:rsidR="002D169C" w:rsidRDefault="005E257D">
      <w:pPr>
        <w:numPr>
          <w:ilvl w:val="0"/>
          <w:numId w:val="9"/>
        </w:numPr>
        <w:ind w:hanging="360"/>
        <w:contextualSpacing/>
      </w:pPr>
      <w:r w:rsidRPr="006A453B">
        <w:t xml:space="preserve">Cada aerolínea se podrá configurar especificando datos como </w:t>
      </w:r>
      <w:r w:rsidR="002D169C" w:rsidRPr="006A453B">
        <w:t>la edad máxima que un niño puede tener para que se le considere como tal, y el descuento que se aplicará al precio del vuelo por ser niño</w:t>
      </w:r>
      <w:r w:rsidR="00FE4CFA" w:rsidRPr="006A453B">
        <w:t xml:space="preserve">, </w:t>
      </w:r>
      <w:r w:rsidR="00071378" w:rsidRPr="006A453B">
        <w:t>además del número de días en el que el usuario puede realizar la cancelación del vuelo antes de su salida</w:t>
      </w:r>
      <w:r w:rsidR="002D169C" w:rsidRPr="006A453B">
        <w:t>.</w:t>
      </w:r>
    </w:p>
    <w:p w:rsidR="00571837" w:rsidRPr="006A453B" w:rsidRDefault="00571837">
      <w:pPr>
        <w:numPr>
          <w:ilvl w:val="0"/>
          <w:numId w:val="9"/>
        </w:numPr>
        <w:ind w:hanging="360"/>
        <w:contextualSpacing/>
      </w:pPr>
      <w:r>
        <w:t xml:space="preserve">Las aerolíneas podrán realizar ofertas tanto de algunos de sus vuelos en particular, como de toda la aerolínea en general. Para cada oferta se deberá indicar la fecha en la que comienza dicha oferta, la fecha en la que finaliza y el porcentaje de descuento que se </w:t>
      </w:r>
      <w:r w:rsidR="00C966DD">
        <w:t>aplicará cuando un usuario haga alguna reserva</w:t>
      </w:r>
      <w:r>
        <w:t>.</w:t>
      </w:r>
    </w:p>
    <w:p w:rsidR="00E3766B" w:rsidRDefault="009D7490">
      <w:pPr>
        <w:pStyle w:val="Ttulo3"/>
        <w:contextualSpacing w:val="0"/>
      </w:pPr>
      <w:bookmarkStart w:id="19" w:name="_34o93r5oo33r" w:colFirst="0" w:colLast="0"/>
      <w:bookmarkStart w:id="20" w:name="_Toc480580697"/>
      <w:bookmarkEnd w:id="19"/>
      <w:r>
        <w:t>Requisitos funcionales</w:t>
      </w:r>
      <w:bookmarkEnd w:id="20"/>
    </w:p>
    <w:p w:rsidR="00B30E06" w:rsidRDefault="00B30E06">
      <w:pPr>
        <w:numPr>
          <w:ilvl w:val="0"/>
          <w:numId w:val="3"/>
        </w:numPr>
        <w:ind w:hanging="360"/>
        <w:contextualSpacing/>
      </w:pPr>
      <w:r>
        <w:t>Un actor autenticado como usuario deberá ser capaz de:</w:t>
      </w:r>
    </w:p>
    <w:p w:rsidR="004777A5" w:rsidRDefault="004777A5" w:rsidP="004777A5">
      <w:pPr>
        <w:numPr>
          <w:ilvl w:val="1"/>
          <w:numId w:val="3"/>
        </w:numPr>
        <w:ind w:hanging="360"/>
        <w:contextualSpacing/>
      </w:pPr>
      <w:bookmarkStart w:id="21" w:name="_GoBack"/>
      <w:r>
        <w:t>Listar los vuelos ofertados por una aerolínea en una determinada temporada con su precio original y el descuento o incremento que se aplicaría.</w:t>
      </w:r>
    </w:p>
    <w:bookmarkEnd w:id="21"/>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lastRenderedPageBreak/>
        <w:t>Listar las facturas</w:t>
      </w:r>
      <w:r w:rsidR="00127BA8">
        <w:t xml:space="preserve"> mensuales</w:t>
      </w:r>
      <w:r>
        <w:t xml:space="preserve"> emitidas a la aerolínea para la que trabajan y marcarlas como pagadas.</w:t>
      </w:r>
    </w:p>
    <w:p w:rsidR="00ED1E43" w:rsidRDefault="00ED1E43">
      <w:pPr>
        <w:numPr>
          <w:ilvl w:val="1"/>
          <w:numId w:val="3"/>
        </w:numPr>
        <w:ind w:hanging="360"/>
        <w:contextualSpacing/>
      </w:pPr>
      <w:r>
        <w:t>Administrar las ofertas disponibles, lo que implica listar, crear, editar y eliminar. Una oferta podrá ser eliminada y editada siempre que no haya sido aplicada a ninguna reserva.</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r w:rsidR="00AC6111">
        <w:t>, dicha cuota por defecto tendrá un valor de 1.00€</w:t>
      </w:r>
      <w:r>
        <w:t>.</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CE7ABD" w:rsidRDefault="00CE7ABD">
      <w:pPr>
        <w:numPr>
          <w:ilvl w:val="2"/>
          <w:numId w:val="3"/>
        </w:numPr>
        <w:ind w:hanging="360"/>
        <w:contextualSpacing/>
      </w:pPr>
      <w:r>
        <w:t>Las aerolíneas que realizan el mayor y menor valor medio de descuento en sus vuelos.</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394B8D" w:rsidRDefault="000F09FB">
      <w:pPr>
        <w:numPr>
          <w:ilvl w:val="0"/>
          <w:numId w:val="7"/>
        </w:numPr>
        <w:ind w:hanging="360"/>
        <w:contextualSpacing/>
      </w:pPr>
      <w:r>
        <w:t>Las aerolíneas podrán administrar sus campañas de publicidad. Para cada campaña se almacenará la fecha de inicio, la fecha de fin y el número máximo de veces que se podrá visualizar cada banner en ese tiempo.</w:t>
      </w:r>
      <w:r w:rsidR="00546643">
        <w:t xml:space="preserve"> De esta manera, en la factura mensual de cada aerolínea se incluirá la cuota que deberán pagar para poder publicitarse, dicha cuota será por defecto de 1.0</w:t>
      </w:r>
      <w:r w:rsidR="00CE7ABD">
        <w:t>0</w:t>
      </w:r>
      <w:r w:rsidR="00546643">
        <w:t>€</w:t>
      </w:r>
      <w:r w:rsidR="00B77D48">
        <w:t>,</w:t>
      </w:r>
      <w:r w:rsidR="00546643">
        <w:t xml:space="preserve"> pero no tendrá por qué ser igual </w:t>
      </w:r>
      <w:r w:rsidR="000D600A">
        <w:t>para</w:t>
      </w:r>
      <w:r w:rsidR="00546643">
        <w:t xml:space="preserve"> cada oferta de vuelo.</w:t>
      </w:r>
    </w:p>
    <w:p w:rsidR="000F09FB" w:rsidRDefault="000F09FB">
      <w:pPr>
        <w:numPr>
          <w:ilvl w:val="0"/>
          <w:numId w:val="7"/>
        </w:numPr>
        <w:ind w:hanging="360"/>
        <w:contextualSpacing/>
      </w:pPr>
      <w:r>
        <w:t>Los banners son imágenes publicitarias de cada aerolínea, que están definidos por una imagen y el número de veces que ha sido mostrado en la aplicación.</w:t>
      </w:r>
    </w:p>
    <w:p w:rsidR="00FE49C0" w:rsidRDefault="00FE49C0">
      <w:pPr>
        <w:numPr>
          <w:ilvl w:val="0"/>
          <w:numId w:val="7"/>
        </w:numPr>
        <w:ind w:hanging="360"/>
        <w:contextualSpacing/>
      </w:pPr>
      <w:r>
        <w:t xml:space="preserve">Se desea premiar la fidelidad de los usuarios otorgándoles unas tarjetas de puntos que podrán canjear en cualquier vuelo de cualquier aerolínea. De esta forma, cada vez que se realice una </w:t>
      </w:r>
      <w:r>
        <w:lastRenderedPageBreak/>
        <w:t xml:space="preserve">reserva se acumulará 1 punto que se tendrá un valor de 1.00€, y podrán decidir si acumular los puntos o usarlos para esa reserva. Si el usuario desea usar sus puntos en esa reserva, deberá especificar cuántos puntos desea </w:t>
      </w:r>
      <w:r w:rsidR="004C5578">
        <w:t>gastar</w:t>
      </w:r>
      <w:r>
        <w:t>.</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745D03" w:rsidRDefault="00745D03" w:rsidP="00745D03">
      <w:pPr>
        <w:numPr>
          <w:ilvl w:val="0"/>
          <w:numId w:val="4"/>
        </w:numPr>
        <w:ind w:hanging="360"/>
        <w:contextualSpacing/>
      </w:pPr>
      <w:r>
        <w:t>Un actor que está autenticado como gerente deberá ser capaz de:</w:t>
      </w:r>
    </w:p>
    <w:p w:rsidR="00745D03" w:rsidRDefault="00745D03" w:rsidP="00745D03">
      <w:pPr>
        <w:numPr>
          <w:ilvl w:val="1"/>
          <w:numId w:val="4"/>
        </w:numPr>
        <w:ind w:hanging="360"/>
        <w:contextualSpacing/>
      </w:pPr>
      <w:r>
        <w:t>Administrar las campañas y los banners de la aerolínea para la que trabaja, lo que incluye listarlos, crearlos, editarlos y eliminarlos.</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BB5F65" w:rsidRDefault="009E0902" w:rsidP="00321361">
      <w:pPr>
        <w:numPr>
          <w:ilvl w:val="1"/>
          <w:numId w:val="4"/>
        </w:numPr>
        <w:ind w:hanging="360"/>
        <w:contextualSpacing/>
      </w:pPr>
      <w:r>
        <w:t>Cambiar la cuota que deberán pagar las aerolíneas para poder publicitar sus campañas.</w:t>
      </w:r>
    </w:p>
    <w:p w:rsidR="00321361" w:rsidRDefault="00BB5F65" w:rsidP="00321361">
      <w:pPr>
        <w:numPr>
          <w:ilvl w:val="1"/>
          <w:numId w:val="4"/>
        </w:numPr>
        <w:ind w:hanging="360"/>
        <w:contextualSpacing/>
      </w:pPr>
      <w:r>
        <w:t>Ejecutar un procedimiento que borre los puntos de la tarjeta de puntos de los usuarios cuya última reserva se realizó hace más de un año.</w:t>
      </w:r>
      <w:r w:rsidR="00321361">
        <w:t xml:space="preserve"> </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w:t>
      </w:r>
      <w:r w:rsidR="000D600A">
        <w:t xml:space="preserve">y negativos </w:t>
      </w:r>
      <w:r>
        <w:t xml:space="preserve">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w:t>
      </w:r>
      <w:r w:rsidR="00A41680">
        <w:t xml:space="preserve"> (GBP), Coronas Noruegas (NOK) ,</w:t>
      </w:r>
      <w:r>
        <w:t xml:space="preserve"> Rublo Ruso (RUB)</w:t>
      </w:r>
      <w:r w:rsidR="00A41680">
        <w:t>, Yen Japonés (JPY) y Yuan Chino (CHY)</w:t>
      </w:r>
      <w:r>
        <w:t>.</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059" w:rsidRDefault="00896059">
      <w:pPr>
        <w:spacing w:before="0" w:line="240" w:lineRule="auto"/>
      </w:pPr>
      <w:r>
        <w:separator/>
      </w:r>
    </w:p>
  </w:endnote>
  <w:endnote w:type="continuationSeparator" w:id="0">
    <w:p w:rsidR="00896059" w:rsidRDefault="008960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A41680">
      <w:rPr>
        <w:noProof/>
      </w:rPr>
      <w:t>5</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059" w:rsidRDefault="00896059">
      <w:pPr>
        <w:spacing w:before="0" w:line="240" w:lineRule="auto"/>
      </w:pPr>
      <w:r>
        <w:separator/>
      </w:r>
    </w:p>
  </w:footnote>
  <w:footnote w:type="continuationSeparator" w:id="0">
    <w:p w:rsidR="00896059" w:rsidRDefault="0089605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318BF"/>
    <w:rsid w:val="00071378"/>
    <w:rsid w:val="000D600A"/>
    <w:rsid w:val="000E29D3"/>
    <w:rsid w:val="000F09FB"/>
    <w:rsid w:val="00127BA8"/>
    <w:rsid w:val="00175580"/>
    <w:rsid w:val="00201B1B"/>
    <w:rsid w:val="002044D4"/>
    <w:rsid w:val="002637B0"/>
    <w:rsid w:val="002905F5"/>
    <w:rsid w:val="002D169C"/>
    <w:rsid w:val="003031A7"/>
    <w:rsid w:val="00321361"/>
    <w:rsid w:val="00394B8D"/>
    <w:rsid w:val="003B3828"/>
    <w:rsid w:val="003D2D0C"/>
    <w:rsid w:val="003F247D"/>
    <w:rsid w:val="00423211"/>
    <w:rsid w:val="00475236"/>
    <w:rsid w:val="004777A5"/>
    <w:rsid w:val="004C5578"/>
    <w:rsid w:val="004D576B"/>
    <w:rsid w:val="004F595A"/>
    <w:rsid w:val="00537F5F"/>
    <w:rsid w:val="00546643"/>
    <w:rsid w:val="00571837"/>
    <w:rsid w:val="00580E32"/>
    <w:rsid w:val="00586E56"/>
    <w:rsid w:val="005E257D"/>
    <w:rsid w:val="006418CD"/>
    <w:rsid w:val="00661B55"/>
    <w:rsid w:val="006702C6"/>
    <w:rsid w:val="0067213C"/>
    <w:rsid w:val="006A453B"/>
    <w:rsid w:val="00705A1D"/>
    <w:rsid w:val="007351CA"/>
    <w:rsid w:val="00745D03"/>
    <w:rsid w:val="00782882"/>
    <w:rsid w:val="00877F31"/>
    <w:rsid w:val="00896059"/>
    <w:rsid w:val="008A5DEA"/>
    <w:rsid w:val="009275FA"/>
    <w:rsid w:val="00936D50"/>
    <w:rsid w:val="00950A6D"/>
    <w:rsid w:val="00955828"/>
    <w:rsid w:val="009874F4"/>
    <w:rsid w:val="009971A3"/>
    <w:rsid w:val="009C7A29"/>
    <w:rsid w:val="009D7490"/>
    <w:rsid w:val="009E0902"/>
    <w:rsid w:val="00A00C5C"/>
    <w:rsid w:val="00A10F36"/>
    <w:rsid w:val="00A14118"/>
    <w:rsid w:val="00A41680"/>
    <w:rsid w:val="00A41899"/>
    <w:rsid w:val="00AC6111"/>
    <w:rsid w:val="00B04581"/>
    <w:rsid w:val="00B14F63"/>
    <w:rsid w:val="00B26BDC"/>
    <w:rsid w:val="00B30E06"/>
    <w:rsid w:val="00B40FFD"/>
    <w:rsid w:val="00B77D48"/>
    <w:rsid w:val="00BA614B"/>
    <w:rsid w:val="00BB5F65"/>
    <w:rsid w:val="00BE43B8"/>
    <w:rsid w:val="00C7494B"/>
    <w:rsid w:val="00C966DD"/>
    <w:rsid w:val="00C970A2"/>
    <w:rsid w:val="00CC62E8"/>
    <w:rsid w:val="00CE7ABD"/>
    <w:rsid w:val="00D60525"/>
    <w:rsid w:val="00E009BD"/>
    <w:rsid w:val="00E15A1C"/>
    <w:rsid w:val="00E16F07"/>
    <w:rsid w:val="00E3766B"/>
    <w:rsid w:val="00E86428"/>
    <w:rsid w:val="00EB3498"/>
    <w:rsid w:val="00ED1E43"/>
    <w:rsid w:val="00ED43C8"/>
    <w:rsid w:val="00F00BEB"/>
    <w:rsid w:val="00F22EE4"/>
    <w:rsid w:val="00F30119"/>
    <w:rsid w:val="00F607B1"/>
    <w:rsid w:val="00FB12C8"/>
    <w:rsid w:val="00FB3D65"/>
    <w:rsid w:val="00FD6A73"/>
    <w:rsid w:val="00FE49C0"/>
    <w:rsid w:val="00FE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2B462-393E-4A14-869E-DD010221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2266</Words>
  <Characters>12465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Serrano Ramos</cp:lastModifiedBy>
  <cp:revision>74</cp:revision>
  <cp:lastPrinted>2017-04-24T11:02:00Z</cp:lastPrinted>
  <dcterms:created xsi:type="dcterms:W3CDTF">2017-04-21T21:04:00Z</dcterms:created>
  <dcterms:modified xsi:type="dcterms:W3CDTF">2017-04-27T03:27:00Z</dcterms:modified>
</cp:coreProperties>
</file>