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35.png" ContentType="image/png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Nuclear</w:t>
      </w:r>
      <w:r>
        <w:t xml:space="preserve"> </w:t>
      </w:r>
      <w:r>
        <w:t xml:space="preserve">Explosions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python</w:t>
      </w:r>
      <w:r>
        <w:t xml:space="preserve"> </w:t>
      </w:r>
      <w:r>
        <w:t xml:space="preserve">polars</w:t>
      </w:r>
      <w:r>
        <w:t xml:space="preserve"> </w:t>
      </w:r>
      <w:r>
        <w:t xml:space="preserve">and</w:t>
      </w:r>
      <w:r>
        <w:t xml:space="preserve"> </w:t>
      </w:r>
      <w:r>
        <w:t xml:space="preserve">seaborn</w:t>
      </w:r>
      <w:r>
        <w:t xml:space="preserve"> </w:t>
      </w:r>
      <w:r>
        <w:t xml:space="preserve">to</w:t>
      </w:r>
      <w:r>
        <w:t xml:space="preserve"> </w:t>
      </w:r>
      <w:r>
        <w:t xml:space="preserve">visualize</w:t>
      </w:r>
      <w:r>
        <w:t xml:space="preserve"> </w:t>
      </w:r>
      <w:r>
        <w:t xml:space="preserve">global</w:t>
      </w:r>
      <w:r>
        <w:t xml:space="preserve"> </w:t>
      </w:r>
      <w:r>
        <w:t xml:space="preserve">detonations</w:t>
      </w:r>
    </w:p>
    <w:p>
      <w:pPr>
        <w:pStyle w:val="Author"/>
      </w:pPr>
      <w:r>
        <w:t xml:space="preserve">Marty</w:t>
      </w:r>
      <w:r>
        <w:t xml:space="preserve"> </w:t>
      </w:r>
      <w:r>
        <w:t xml:space="preserve">Oehme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following is a re-creation and expansion of some of the graphs found in the</w:t>
      </w:r>
      <w:r>
        <w:t xml:space="preserve"> </w:t>
      </w:r>
      <w:r>
        <w:t xml:space="preserve">Bergkvist &amp; Ferm (2000)</w:t>
      </w:r>
      <w:r>
        <w:t xml:space="preserve"> </w:t>
      </w:r>
      <w:r>
        <w:t xml:space="preserve">produced report on nuclear explosions between 1945 and 1998. It</w:t>
      </w:r>
      <w:r>
        <w:t xml:space="preserve"> </w:t>
      </w:r>
      <w:r>
        <w:t xml:space="preserve">is primarily a reproduction of key plots from the original report.</w:t>
      </w:r>
      <w:r>
        <w:t xml:space="preserve"> </w:t>
      </w:r>
      <w:r>
        <w:t xml:space="preserve">Additionally, it serves as an exercise in plotting with the python library</w:t>
      </w:r>
      <w:r>
        <w:t xml:space="preserve"> </w:t>
      </w:r>
      <w:r>
        <w:t xml:space="preserve">seaborn and the underlying matplotlib. Lastly, it approaches some less well</w:t>
      </w:r>
      <w:r>
        <w:t xml:space="preserve"> </w:t>
      </w:r>
      <w:r>
        <w:t xml:space="preserve">tread territory for data science in the python universe as it uses the python</w:t>
      </w:r>
      <w:r>
        <w:t xml:space="preserve"> </w:t>
      </w:r>
      <w:r>
        <w:t xml:space="preserve">library polars-rs for data loading and transformation. All the code used to</w:t>
      </w:r>
      <w:r>
        <w:t xml:space="preserve"> </w:t>
      </w:r>
      <w:r>
        <w:t xml:space="preserve">transform the data and create the plots is available directly within the full</w:t>
      </w:r>
      <w:r>
        <w:t xml:space="preserve"> </w:t>
      </w:r>
      <w:r>
        <w:t xml:space="preserve">text document, and separately as well. PDF and Docx formats are available with</w:t>
      </w:r>
      <w:r>
        <w:t xml:space="preserve"> </w:t>
      </w:r>
      <w:r>
        <w:t xml:space="preserve">the plotting results only.</w:t>
      </w:r>
    </w:p>
    <w:p>
      <w:pPr>
        <w:pStyle w:val="BodyText"/>
      </w:pPr>
      <w:r>
        <w:t xml:space="preserve">The authors’ original purpose was the collection of a long list of all the</w:t>
      </w:r>
      <w:r>
        <w:t xml:space="preserve"> </w:t>
      </w:r>
      <w:r>
        <w:t xml:space="preserve">nuclear explosions occurring between those years, as well as analysing the</w:t>
      </w:r>
      <w:r>
        <w:t xml:space="preserve"> </w:t>
      </w:r>
      <w:r>
        <w:t xml:space="preserve">responsible nations, tracking the types and purposes of the explosions and</w:t>
      </w:r>
      <w:r>
        <w:t xml:space="preserve"> </w:t>
      </w:r>
      <w:r>
        <w:t xml:space="preserve">connecting the rise and fall of nuclear explosion numbers to historical events</w:t>
      </w:r>
      <w:r>
        <w:t xml:space="preserve"> </w:t>
      </w:r>
      <w:r>
        <w:t xml:space="preserve">throughout.</w:t>
      </w:r>
    </w:p>
    <w:bookmarkEnd w:id="20"/>
    <w:bookmarkStart w:id="25" w:name="total-numbers"/>
    <w:p>
      <w:pPr>
        <w:pStyle w:val="Heading2"/>
      </w:pPr>
      <w:r>
        <w:t xml:space="preserve">Total numbers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Nuclear devices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two main kinds of nuclear device: those based entirely, on fission,</w:t>
            </w:r>
            <w:r>
              <w:t xml:space="preserve"> </w:t>
            </w:r>
            <w:r>
              <w:t xml:space="preserve">or the splitting of heavy atomic nuclei (previously known as atomic devices)</w:t>
            </w:r>
            <w:r>
              <w:t xml:space="preserve"> </w:t>
            </w:r>
            <w:r>
              <w:t xml:space="preserve">and those in which the main energy is obtained by means of fusion, or of -light</w:t>
            </w:r>
            <w:r>
              <w:t xml:space="preserve"> </w:t>
            </w:r>
            <w:r>
              <w:t xml:space="preserve">atomic nuclei (hydrogen or thermonuclear devices). A fusion explosion must</w:t>
            </w:r>
            <w:r>
              <w:t xml:space="preserve"> </w:t>
            </w:r>
            <w:r>
              <w:t xml:space="preserve">however be initiated with the help of a fission device. The strength of a</w:t>
            </w:r>
            <w:r>
              <w:t xml:space="preserve"> </w:t>
            </w:r>
            <w:r>
              <w:t xml:space="preserve">fusion explosion can be practically unlimited. The explosive power of a</w:t>
            </w:r>
            <w:r>
              <w:t xml:space="preserve"> </w:t>
            </w:r>
            <w:r>
              <w:t xml:space="preserve">nuclear explosion is expressed in kilotons, (kt) or megatons (Mt), which</w:t>
            </w:r>
            <w:r>
              <w:t xml:space="preserve"> </w:t>
            </w:r>
            <w:r>
              <w:t xml:space="preserve">correspond to 1000 and 1 million tonnes, of conventional explosive (TNT),</w:t>
            </w:r>
            <w:r>
              <w:t xml:space="preserve"> </w:t>
            </w:r>
            <w:r>
              <w:t xml:space="preserve">respectively.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(Bergkvist &amp; Ferm, 2000, p. 6)</w:t>
            </w:r>
          </w:p>
        </w:tc>
      </w:tr>
    </w:tbl>
    <w:p>
      <w:pPr>
        <w:pStyle w:val="BodyText"/>
      </w:pPr>
      <w:r>
        <w:t xml:space="preserve">We begin by investigating a table containing all the absolute counts and yields</w:t>
      </w:r>
      <w:r>
        <w:t xml:space="preserve"> </w:t>
      </w:r>
      <w:r>
        <w:t xml:space="preserve">each country had explode, seen in</w:t>
      </w:r>
      <w:r>
        <w:t xml:space="preserve"> </w:t>
      </w:r>
      <w:hyperlink w:anchor="tbl-yield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y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Total number and yields of explosions</w:t>
            </w:r>
          </w:p>
          <w:tbl>
            <w:tblPr>
              <w:tblStyle w:val="Table"/>
              <w:tblW w:type="auto" w:w="0"/>
              <w:tblLook w:firstRow="0" w:lastRow="1" w:firstColumn="0" w:lastColumn="0" w:noHBand="0" w:noVBand="0" w:val="000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Country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Totals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Yield average</w:t>
                  </w:r>
                </w:p>
              </w:tc>
            </w:tr>
            <w:t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Count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Yield in kt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200,763.5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194.5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USSR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301,440.4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422.2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12,865.0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61.3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9,603.3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213.4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21,389.5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475.3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Pakistan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13.2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Source: Author's elaboration based on Bergkvist and Ferm (2000).</w:t>
                  </w:r>
                </w:p>
              </w:tc>
            </w:tr>
          </w:tbl>
          <w:bookmarkEnd w:id="24"/>
          <w:p/>
        </w:tc>
      </w:tr>
    </w:tbl>
    <w:p>
      <w:pPr>
        <w:pStyle w:val="BodyText"/>
      </w:pPr>
      <w:r>
        <w:t xml:space="preserve">It is interesting to note that while the US undoubtedly had the highest raw</w:t>
      </w:r>
      <w:r>
        <w:t xml:space="preserve"> </w:t>
      </w:r>
      <w:r>
        <w:t xml:space="preserve">number of explosions, it did not, in fact, output the highest estimated</w:t>
      </w:r>
      <w:r>
        <w:t xml:space="preserve"> </w:t>
      </w:r>
      <w:r>
        <w:t xml:space="preserve">detonation yields.</w:t>
      </w:r>
      <w:r>
        <w:t xml:space="preserve"> </w:t>
      </w:r>
      <w:r>
        <w:t xml:space="preserve">In fact, 3 countries have a higher average</w:t>
      </w:r>
      <w:r>
        <w:t xml:space="preserve"> </w:t>
      </w:r>
      <w:r>
        <w:t xml:space="preserve">explosion yield per detonation than the US:</w:t>
      </w:r>
      <w:r>
        <w:t xml:space="preserve"> </w:t>
      </w:r>
      <w:r>
        <w:t xml:space="preserve">China leads with an average of</w:t>
      </w:r>
      <w:r>
        <w:t xml:space="preserve"> </w:t>
      </w:r>
      <w:r>
        <w:t xml:space="preserve">475.32 kt,</w:t>
      </w:r>
      <w:r>
        <w:t xml:space="preserve"> </w:t>
      </w:r>
      <w:r>
        <w:t xml:space="preserve">before</w:t>
      </w:r>
      <w:r>
        <w:t xml:space="preserve"> </w:t>
      </w:r>
      <w:r>
        <w:t xml:space="preserve">USSR with an average of</w:t>
      </w:r>
      <w:r>
        <w:t xml:space="preserve"> </w:t>
      </w:r>
      <w:r>
        <w:t xml:space="preserve">422.19 kt.</w:t>
      </w:r>
    </w:p>
    <w:bookmarkEnd w:id="25"/>
    <w:bookmarkStart w:id="39" w:name="numbers-over-time"/>
    <w:p>
      <w:pPr>
        <w:pStyle w:val="Heading2"/>
      </w:pPr>
      <w:r>
        <w:t xml:space="preserve">Numbers over time</w:t>
      </w:r>
    </w:p>
    <w:p>
      <w:pPr>
        <w:pStyle w:val="FirstParagraph"/>
      </w:pPr>
      <w:r>
        <w:t xml:space="preserve">In the examination of global nuclear detonations, our initial focus shall be</w:t>
      </w:r>
      <w:r>
        <w:t xml:space="preserve"> </w:t>
      </w:r>
      <w:r>
        <w:t xml:space="preserve">quantifying the annual incidence of the events in aggregate. While it obscures</w:t>
      </w:r>
      <w:r>
        <w:t xml:space="preserve"> </w:t>
      </w:r>
      <w:r>
        <w:t xml:space="preserve">the specific details of the responsible nations and which diversity of types</w:t>
      </w:r>
      <w:r>
        <w:t xml:space="preserve"> </w:t>
      </w:r>
      <w:r>
        <w:t xml:space="preserve">tested, it instead paints a much stronger picture of the overall abstracted</w:t>
      </w:r>
      <w:r>
        <w:t xml:space="preserve"> </w:t>
      </w:r>
      <w:r>
        <w:t xml:space="preserve">dimension of nuclear testing throughout history, as depicted in</w:t>
      </w:r>
      <w:r>
        <w:t xml:space="preserve"> </w:t>
      </w:r>
      <w:hyperlink w:anchor="fig-total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total"/>
          <w:p>
            <w:pPr>
              <w:pStyle w:val="Compact"/>
              <w:jc w:val="center"/>
            </w:pPr>
            <w:r>
              <w:drawing>
                <wp:inline>
                  <wp:extent cx="4305300" cy="366712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otal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66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Total Nuclear explosions, 1945-98</w:t>
            </w:r>
          </w:p>
          <w:bookmarkEnd w:id="29"/>
        </w:tc>
      </w:tr>
    </w:tbl>
    <w:p>
      <w:pPr>
        <w:pStyle w:val="BodyText"/>
      </w:pPr>
      <w:r>
        <w:t xml:space="preserve">As we can see, the number of explosions rises increasingly towards 1957 and</w:t>
      </w:r>
      <w:r>
        <w:t xml:space="preserve"> </w:t>
      </w:r>
      <w:r>
        <w:t xml:space="preserve">sharply until 1958, before dropping off for a year in 1959. The reason for this</w:t>
      </w:r>
      <w:r>
        <w:t xml:space="preserve"> </w:t>
      </w:r>
      <w:r>
        <w:t xml:space="preserve">drop should primarily be found in the start of the</w:t>
      </w:r>
      <w:r>
        <w:t xml:space="preserve"> </w:t>
      </w:r>
      <w:r>
        <w:t xml:space="preserve">‘</w:t>
      </w:r>
      <w:r>
        <w:t xml:space="preserve">Treaty of Test Ban</w:t>
      </w:r>
      <w:r>
        <w:t xml:space="preserve">’</w:t>
      </w:r>
      <w:r>
        <w:t xml:space="preserve"> </w:t>
      </w:r>
      <w:r>
        <w:t xml:space="preserve">which</w:t>
      </w:r>
      <w:r>
        <w:t xml:space="preserve"> </w:t>
      </w:r>
      <w:r>
        <w:t xml:space="preserve">put limits and restraints on the testing of above-ground nuclear armaments, as</w:t>
      </w:r>
      <w:r>
        <w:t xml:space="preserve"> </w:t>
      </w:r>
      <w:r>
        <w:t xml:space="preserve">discussed in the original article. Above all the contract signals the</w:t>
      </w:r>
      <w:r>
        <w:t xml:space="preserve"> </w:t>
      </w:r>
      <w:r>
        <w:t xml:space="preserve">prohibition of radioactive debris to fall beyond a nation’s respective</w:t>
      </w:r>
      <w:r>
        <w:t xml:space="preserve"> </w:t>
      </w:r>
      <w:r>
        <w:t xml:space="preserve">territorial bounds.</w:t>
      </w:r>
    </w:p>
    <w:p>
      <w:pPr>
        <w:pStyle w:val="BodyText"/>
      </w:pPr>
      <w:r>
        <w:t xml:space="preserve">However, this contract should perhaps not be viewed as the only reason: With</w:t>
      </w:r>
      <w:r>
        <w:t xml:space="preserve"> </w:t>
      </w:r>
      <w:r>
        <w:t xml:space="preserve">political and cultural shifts throughout the late 1950s and early 1960s</w:t>
      </w:r>
      <w:r>
        <w:t xml:space="preserve"> </w:t>
      </w:r>
      <w:r>
        <w:t xml:space="preserve">increasingly focusing on the fallout and horror of nuclear warfare a burgeoning</w:t>
      </w:r>
      <w:r>
        <w:t xml:space="preserve"> </w:t>
      </w:r>
      <w:r>
        <w:t xml:space="preserve">public opposition to nuclear testing and instead a push towards disarmament was</w:t>
      </w:r>
      <w:r>
        <w:t xml:space="preserve"> </w:t>
      </w:r>
      <w:r>
        <w:t xml:space="preserve">taking hold. The increased focus on the space race between the US and USSR may</w:t>
      </w:r>
      <w:r>
        <w:t xml:space="preserve"> </w:t>
      </w:r>
      <w:r>
        <w:t xml:space="preserve">have detracted from the available funds, human resources and agenda attention</w:t>
      </w:r>
      <w:r>
        <w:t xml:space="preserve"> </w:t>
      </w:r>
      <w:r>
        <w:t xml:space="preserve">for nuclear testing. Lastly, with nuclear testing policies strongly shaped by</w:t>
      </w:r>
      <w:r>
        <w:t xml:space="preserve"> </w:t>
      </w:r>
      <w:r>
        <w:t xml:space="preserve">the political dynamics of the Cold War, a period of improved diplomatic</w:t>
      </w:r>
      <w:r>
        <w:t xml:space="preserve"> </w:t>
      </w:r>
      <w:r>
        <w:t xml:space="preserve">relations such as the late 1950s prior to the Cuban missile crisis may directly</w:t>
      </w:r>
      <w:r>
        <w:t xml:space="preserve"> </w:t>
      </w:r>
      <w:r>
        <w:t xml:space="preserve">affect the output of nuclear testing facilities between various powers.</w:t>
      </w:r>
    </w:p>
    <w:p>
      <w:pPr>
        <w:pStyle w:val="BodyText"/>
      </w:pPr>
      <w:r>
        <w:t xml:space="preserve">There is another, very steep, rise in 1962 with over 175 recorded explosions,</w:t>
      </w:r>
      <w:r>
        <w:t xml:space="preserve"> </w:t>
      </w:r>
      <w:r>
        <w:t xml:space="preserve">before an even sharper drop-off the following year down to just 50 explosions.</w:t>
      </w:r>
      <w:r>
        <w:t xml:space="preserve"> </w:t>
      </w:r>
      <w:r>
        <w:t xml:space="preserve">Afterward the changes appear less sharp and the changes remain between 77 and</w:t>
      </w:r>
      <w:r>
        <w:t xml:space="preserve"> </w:t>
      </w:r>
      <w:r>
        <w:t xml:space="preserve">24 explosions per year, with a slight downward tendency.</w:t>
      </w:r>
    </w:p>
    <w:p>
      <w:pPr>
        <w:pStyle w:val="BodyText"/>
      </w:pPr>
      <w:r>
        <w:t xml:space="preserve">While these numbers show the overall proliferation of nuclear power, let us now</w:t>
      </w:r>
      <w:r>
        <w:t xml:space="preserve"> </w:t>
      </w:r>
      <w:r>
        <w:t xml:space="preserve">instead turn to the contributions by individual countries. A split in the number</w:t>
      </w:r>
      <w:r>
        <w:t xml:space="preserve"> </w:t>
      </w:r>
      <w:r>
        <w:t xml:space="preserve">of explosions over time by country can be seen in</w:t>
      </w:r>
      <w:r>
        <w:t xml:space="preserve"> </w:t>
      </w:r>
      <w:hyperlink w:anchor="fig-percountry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percountry"/>
          <w:p>
            <w:pPr>
              <w:pStyle w:val="Compact"/>
              <w:jc w:val="center"/>
            </w:pPr>
            <w:r>
              <w:drawing>
                <wp:inline>
                  <wp:extent cx="4362450" cy="36957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ercountry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Nuclear explosions by country, 1945-98</w:t>
            </w:r>
          </w:p>
          <w:bookmarkEnd w:id="33"/>
        </w:tc>
      </w:tr>
    </w:tbl>
    <w:p>
      <w:pPr>
        <w:pStyle w:val="BodyText"/>
      </w:pPr>
      <w:r>
        <w:t xml:space="preserve">Once again we can see the visibly steep ramp-up to 1962, though it becomes</w:t>
      </w:r>
      <w:r>
        <w:t xml:space="preserve"> </w:t>
      </w:r>
      <w:r>
        <w:t xml:space="preserve">clear that this was driven both by the USSR and the US. Of course the graph</w:t>
      </w:r>
      <w:r>
        <w:t xml:space="preserve"> </w:t>
      </w:r>
      <w:r>
        <w:t xml:space="preserve">also makes visible the sheer unmatched number of explosions emanating from both</w:t>
      </w:r>
      <w:r>
        <w:t xml:space="preserve"> </w:t>
      </w:r>
      <w:r>
        <w:t xml:space="preserve">of the countries, with only France catching up to the US numbers and China</w:t>
      </w:r>
      <w:r>
        <w:t xml:space="preserve"> </w:t>
      </w:r>
      <w:r>
        <w:t xml:space="preserve">ultimately overtaking them in the 1990s.</w:t>
      </w:r>
    </w:p>
    <w:p>
      <w:pPr>
        <w:pStyle w:val="BodyText"/>
      </w:pPr>
      <w:r>
        <w:t xml:space="preserve">However, here it also becomes more clear how the UK was responsible for some</w:t>
      </w:r>
      <w:r>
        <w:t xml:space="preserve"> </w:t>
      </w:r>
      <w:r>
        <w:t xml:space="preserve">early explosions in the late 1950s and early 1960s already, as well as the rise</w:t>
      </w:r>
      <w:r>
        <w:t xml:space="preserve"> </w:t>
      </w:r>
      <w:r>
        <w:t xml:space="preserve">in France’s nuclear testing from the early 1960s onwards to around 1980, before</w:t>
      </w:r>
      <w:r>
        <w:t xml:space="preserve"> </w:t>
      </w:r>
      <w:r>
        <w:t xml:space="preserve">slowly decreasing in intensity afterward.</w:t>
      </w:r>
    </w:p>
    <w:p>
      <w:pPr>
        <w:pStyle w:val="BodyText"/>
      </w:pPr>
      <w:r>
        <w:t xml:space="preserve">Let us turn to a cross-cut through the explosions in</w:t>
      </w:r>
      <w:r>
        <w:t xml:space="preserve"> </w:t>
      </w:r>
      <w:hyperlink w:anchor="fig-groundlevel">
        <w:r>
          <w:rPr>
            <w:rStyle w:val="Hyperlink"/>
          </w:rPr>
          <w:t xml:space="preserve">Figure 3</w:t>
        </w:r>
      </w:hyperlink>
      <w:r>
        <w:t xml:space="preserve">, focusing</w:t>
      </w:r>
      <w:r>
        <w:t xml:space="preserve"> </w:t>
      </w:r>
      <w:r>
        <w:t xml:space="preserve">on the number of explosions that have occurred underground and above-ground</w:t>
      </w:r>
      <w:r>
        <w:t xml:space="preserve"> </w:t>
      </w:r>
      <w:r>
        <w:t xml:space="preserve">respectively.</w:t>
      </w:r>
      <w:r>
        <w:rPr>
          <w:rStyle w:val="FootnoteReference"/>
        </w:rPr>
        <w:footnoteReference w:id="34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fig-groundlevel"/>
          <w:p>
            <w:pPr>
              <w:pStyle w:val="Compact"/>
              <w:jc w:val="center"/>
            </w:pPr>
            <w:r>
              <w:drawing>
                <wp:inline>
                  <wp:extent cx="4524375" cy="3695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groundlevel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Nuclear explosions above and below ground, 1945-98</w:t>
            </w:r>
          </w:p>
          <w:bookmarkEnd w:id="38"/>
        </w:tc>
      </w:tr>
    </w:tbl>
    <w:p>
      <w:pPr>
        <w:pStyle w:val="BodyText"/>
      </w:pPr>
      <w:r>
        <w:t xml:space="preserve">This plot paints a different picture yet again: while overall the number of</w:t>
      </w:r>
      <w:r>
        <w:t xml:space="preserve"> </w:t>
      </w:r>
      <w:r>
        <w:t xml:space="preserve">explosions still rise and fall with some early sharp spikes, we can see a clear</w:t>
      </w:r>
      <w:r>
        <w:t xml:space="preserve"> </w:t>
      </w:r>
      <w:r>
        <w:t xml:space="preserve">shift from above-ground to underground tests, starting with the year 1962.</w:t>
      </w:r>
    </w:p>
    <w:bookmarkEnd w:id="39"/>
    <w:bookmarkStart w:id="47" w:name="locations"/>
    <w:p>
      <w:pPr>
        <w:pStyle w:val="Heading2"/>
      </w:pPr>
      <w:r>
        <w:t xml:space="preserve">Locations</w:t>
      </w:r>
    </w:p>
    <w:p>
      <w:pPr>
        <w:pStyle w:val="FirstParagraph"/>
      </w:pPr>
      <w:r>
        <w:t xml:space="preserve">Finally, let’s view a map of the world with the explosions marked, separated by country.</w:t>
      </w:r>
      <w:r>
        <w:t xml:space="preserve"> </w:t>
      </w:r>
      <w:r>
        <w:t xml:space="preserve">::: {.content-visible when-format=</w:t>
      </w:r>
      <w:r>
        <w:t xml:space="preserve">“</w:t>
      </w:r>
      <w:r>
        <w:t xml:space="preserve">html</w:t>
      </w:r>
      <w:r>
        <w:t xml:space="preserve">”</w:t>
      </w:r>
      <w:r>
        <w:t xml:space="preserve">}</w:t>
      </w:r>
      <w:r>
        <w:t xml:space="preserve"> </w:t>
      </w:r>
      <w:r>
        <w:t xml:space="preserve">Hovering over individual explosions will show their year</w:t>
      </w:r>
      <w:r>
        <w:t xml:space="preserve"> </w:t>
      </w:r>
      <w:r>
        <w:t xml:space="preserve">while a click will open more information in a panel.</w:t>
      </w:r>
      <w:r>
        <w:t xml:space="preserve"> </w:t>
      </w:r>
      <w:r>
        <w:t xml:space="preserve">The map can be seen in</w:t>
      </w:r>
      <w:r>
        <w:t xml:space="preserve"> </w:t>
      </w:r>
      <w:r>
        <w:rPr>
          <w:bCs/>
          <w:b/>
        </w:rPr>
        <w:t xml:space="preserve">?@fig-worldmap-html</w:t>
      </w:r>
      <w:r>
        <w:t xml:space="preserve">.</w:t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The map can be seen in</w:t>
      </w:r>
      <w:r>
        <w:t xml:space="preserve"> </w:t>
      </w:r>
      <w:hyperlink w:anchor="fig-worldmap-static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worldmap-static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&lt;IPython.core.display.Image object&gt;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World map of nuclear explosions, 1945-98</w:t>
            </w:r>
          </w:p>
          <w:bookmarkEnd w:id="40"/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Interactive maps not working</w:t>
            </w:r>
          </w:p>
          <w:p>
            <w:pPr>
              <w:pStyle w:val="BodyText"/>
            </w:pPr>
            <w:r>
              <w:t xml:space="preserve">Unfortunately, as of right now folium maps rendered within a quarto document do</w:t>
            </w:r>
            <w:r>
              <w:t xml:space="preserve"> </w:t>
            </w:r>
            <w:r>
              <w:t xml:space="preserve">not seem to translate terribly well into an astro blog such as this.</w:t>
            </w:r>
            <w:r>
              <w:t xml:space="preserve"> </w:t>
            </w:r>
            <w:r>
              <w:t xml:space="preserve">This is why, for now, there is only a static image here.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very sad, but for the time being feel free to download and peruse</w:t>
            </w:r>
            <w:r>
              <w:t xml:space="preserve"> </w:t>
            </w:r>
            <w:r>
              <w:t xml:space="preserve">the full repo with source documents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here</w:t>
              </w:r>
            </w:hyperlink>
            <w:r>
              <w:t xml:space="preserve">,</w:t>
            </w:r>
            <w:r>
              <w:t xml:space="preserve"> </w:t>
            </w:r>
            <w:r>
              <w:t xml:space="preserve">as well as the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r>
              <w:t xml:space="preserve">versions.</w:t>
            </w:r>
          </w:p>
        </w:tc>
      </w:tr>
    </w:tbl>
    <w:p>
      <w:pPr>
        <w:pStyle w:val="BodyText"/>
      </w:pPr>
      <w:r>
        <w:t xml:space="preserve">While there are undoubtedly more aspects of the data that provide interesting</w:t>
      </w:r>
      <w:r>
        <w:t xml:space="preserve"> </w:t>
      </w:r>
      <w:r>
        <w:t xml:space="preserve">patterns for analysis, this shall be the extent of review for the time being</w:t>
      </w:r>
      <w:r>
        <w:t xml:space="preserve"> </w:t>
      </w:r>
      <w:r>
        <w:t xml:space="preserve">for this reproduction.</w:t>
      </w:r>
    </w:p>
    <w:p>
      <w:pPr>
        <w:pStyle w:val="BodyText"/>
      </w:pPr>
      <w:r>
        <w:t xml:space="preserve">We can see how the combination of python polars and seaborn makes the process</w:t>
      </w:r>
      <w:r>
        <w:t xml:space="preserve"> </w:t>
      </w:r>
      <w:r>
        <w:t xml:space="preserve">relatively approachable, understandable and, combined with the rendering output</w:t>
      </w:r>
      <w:r>
        <w:t xml:space="preserve"> </w:t>
      </w:r>
      <w:r>
        <w:t xml:space="preserve">by quarto, fully reproducible.</w:t>
      </w:r>
    </w:p>
    <w:p>
      <w:pPr>
        <w:pStyle w:val="BodyText"/>
      </w:pPr>
      <w:r>
        <w:t xml:space="preserve">Additionally, we can see how additional projects can be included to produce</w:t>
      </w:r>
      <w:r>
        <w:t xml:space="preserve"> </w:t>
      </w:r>
      <w:r>
        <w:t xml:space="preserve">interactive graphs and maps with tools such as folium and geopandas.</w:t>
      </w:r>
    </w:p>
    <w:bookmarkEnd w:id="47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Start w:id="48" w:name="ref-Bergkvist2000"/>
    <w:p>
      <w:pPr>
        <w:pStyle w:val="Bibliography"/>
      </w:pPr>
      <w:r>
        <w:t xml:space="preserve">Bergkvist, N.-O., &amp; Ferm, R. (2000).</w:t>
      </w:r>
      <w:r>
        <w:t xml:space="preserve"> </w:t>
      </w:r>
      <w:r>
        <w:rPr>
          <w:iCs/>
          <w:i/>
        </w:rPr>
        <w:t xml:space="preserve">Nuclear Explosions 1945 - 1998</w:t>
      </w:r>
      <w:r>
        <w:t xml:space="preserve"> </w:t>
      </w:r>
      <w:r>
        <w:t xml:space="preserve">(pp. 1–42).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Detonations counted as above ground are made up of atmospheric,</w:t>
      </w:r>
      <w:r>
        <w:t xml:space="preserve"> </w:t>
      </w:r>
      <w:r>
        <w:t xml:space="preserve">airdrop, tower, balloon, barge or ship, rocket and water surface detonations.</w:t>
      </w:r>
      <w:r>
        <w:t xml:space="preserve"> </w:t>
      </w:r>
      <w:r>
        <w:t xml:space="preserve">Any other detonation is counted as below ground, primarily taking place in</w:t>
      </w:r>
      <w:r>
        <w:t xml:space="preserve"> </w:t>
      </w:r>
      <w:r>
        <w:t xml:space="preserve">tunnels, shafts and galleries.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46" Target="./index.docx" TargetMode="External" /><Relationship Type="http://schemas.openxmlformats.org/officeDocument/2006/relationships/hyperlink" Id="rId45" Target="./index.pdf" TargetMode="External" /><Relationship Type="http://schemas.openxmlformats.org/officeDocument/2006/relationships/hyperlink" Id="rId44" Target="https://git.martyoeh.me/datasci/nuclear_explos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./index.docx" TargetMode="External" /><Relationship Type="http://schemas.openxmlformats.org/officeDocument/2006/relationships/hyperlink" Id="rId45" Target="./index.pdf" TargetMode="External" /><Relationship Type="http://schemas.openxmlformats.org/officeDocument/2006/relationships/hyperlink" Id="rId44" Target="https://git.martyoeh.me/datasci/nuclear_explos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 Explosions</dc:title>
  <dc:creator>Marty Oehme</dc:creator>
  <dc:description>Using python polars and seaborn to visualize global detonations</dc:description>
  <cp:keywords/>
  <dcterms:created xsi:type="dcterms:W3CDTF">2024-07-03T18:44:12Z</dcterms:created>
  <dcterms:modified xsi:type="dcterms:W3CDTF">2024-07-03T18:44:12Z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sl">
    <vt:lpwstr>https://www.zotero.org/styles/apa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ubDate">
    <vt:lpwstr>2024-07-03T18:36:26</vt:lpwstr>
  </property>
  <property fmtid="{D5CDD505-2E9C-101B-9397-08002B2CF9AE}" pid="11" name="references">
    <vt:lpwstr/>
  </property>
  <property fmtid="{D5CDD505-2E9C-101B-9397-08002B2CF9AE}" pid="12" name="subtitle">
    <vt:lpwstr>Using python polars and seaborn to visualize global detonations</vt:lpwstr>
  </property>
  <property fmtid="{D5CDD505-2E9C-101B-9397-08002B2CF9AE}" pid="13" name="tags">
    <vt:lpwstr/>
  </property>
  <property fmtid="{D5CDD505-2E9C-101B-9397-08002B2CF9AE}" pid="14" name="toc-title">
    <vt:lpwstr>Table of contents</vt:lpwstr>
  </property>
  <property fmtid="{D5CDD505-2E9C-101B-9397-08002B2CF9AE}" pid="15" name="weight">
    <vt:lpwstr>10</vt:lpwstr>
  </property>
</Properties>
</file>