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DM Sans" w:cs="DM Sans" w:eastAsia="DM Sans" w:hAnsi="DM Sans"/>
          <w:b/>
          <w:bCs/>
          <w:color w:val="0073E6"/>
          <w:spacing w:val="20"/>
          <w:sz w:val="18"/>
          <w:szCs w:val="18"/>
        </w:rPr>
        <w:t xml:space="preserve">SCALIENT</w:t>
      </w:r>
      <w:r>
        <w:rPr>
          <w:rFonts w:ascii="DM Sans" w:cs="DM Sans" w:eastAsia="DM Sans" w:hAnsi="DM Sans"/>
          <w:b/>
          <w:bCs/>
          <w:color w:val="FF6600"/>
          <w:spacing w:val="20"/>
          <w:sz w:val="18"/>
          <w:szCs w:val="18"/>
        </w:rPr>
        <w:t xml:space="preserve">IQ</w:t>
      </w:r>
      <w:r>
        <w:rPr>
          <w:rFonts w:ascii="DM Sans" w:cs="DM Sans" w:eastAsia="DM Sans" w:hAnsi="DM Sans"/>
          <w:b/>
          <w:bCs/>
          <w:color w:val="5B6472"/>
          <w:spacing w:val="20"/>
          <w:sz w:val="18"/>
          <w:szCs w:val="18"/>
        </w:rPr>
        <w:t xml:space="preserve">    ·    FOR PE-BACKED OPERATORS</w:t>
      </w:r>
    </w:p>
    <w:p>
      <w:pPr>
        <w:spacing w:after="60"/>
      </w:pPr>
      <w:r>
        <w:rPr>
          <w:rFonts w:ascii="DM Sans" w:cs="DM Sans" w:eastAsia="DM Sans" w:hAnsi="DM Sans"/>
          <w:b/>
          <w:bCs/>
          <w:color w:val="0A1628"/>
          <w:sz w:val="36"/>
          <w:szCs w:val="36"/>
        </w:rPr>
        <w:t xml:space="preserve">The Baseline Nobody Handed You</w:t>
      </w:r>
    </w:p>
    <w:p>
      <w:pPr>
        <w:spacing w:after="140"/>
      </w:pPr>
      <w:r>
        <w:rPr>
          <w:rFonts w:ascii="DM Sans" w:cs="DM Sans" w:eastAsia="DM Sans" w:hAnsi="DM Sans"/>
          <w:i/>
          <w:iCs/>
          <w:color w:val="5B6472"/>
          <w:sz w:val="24"/>
          <w:szCs w:val="24"/>
        </w:rPr>
        <w:t xml:space="preserve">What a read-only look at your go-to-market surfaces in 30 days, priced in dollars.</w:t>
      </w:r>
    </w:p>
    <w:p>
      <w:pPr>
        <w:spacing w:after="30" w:line="240"/>
      </w:pPr>
      <w:r>
        <w:rPr>
          <w:rFonts w:ascii="DM Sans" w:cs="DM Sans" w:eastAsia="DM Sans" w:hAnsi="DM Sans"/>
          <w:b w:val="false"/>
          <w:bCs w:val="false"/>
          <w:i w:val="false"/>
          <w:iCs w:val="false"/>
          <w:color w:val="0A1628"/>
          <w:sz w:val="22"/>
          <w:szCs w:val="22"/>
        </w:rPr>
        <w:t xml:space="preserve">When you took the seat, someone handed you a number. Nobody handed you a go-to-market baseline: where pipeline leaks, which tools feed a revenue decision and which quietly do not, and what any of it is worth. Most operators spend quarters finding that out by hand.</w:t>
      </w:r>
    </w:p>
    <w:p>
      <w:pPr>
        <w:spacing w:after="30" w:line="240"/>
      </w:pPr>
      <w:r>
        <w:rPr>
          <w:rFonts w:ascii="DM Sans" w:cs="DM Sans" w:eastAsia="DM Sans" w:hAnsi="DM Sans"/>
          <w:b w:val="false"/>
          <w:bCs w:val="false"/>
          <w:i w:val="false"/>
          <w:iCs w:val="false"/>
          <w:color w:val="0A1628"/>
          <w:sz w:val="22"/>
          <w:szCs w:val="22"/>
        </w:rPr>
        <w:t xml:space="preserve">Scalient IQ reads what is already in your CRM and the rest of your revenue stack, scores it, and prices what it finds. Read-only. Nothing installed, nothing written back, nothing new for your team to maintain.</w:t>
      </w:r>
    </w:p>
    <w:p>
      <w:pPr>
        <w:pBdr>
          <w:bottom w:val="single" w:color="D8DCE3" w:sz="4" w:space="4"/>
        </w:pBdr>
        <w:spacing w:after="60" w:before="60"/>
      </w:pPr>
      <w:r>
        <w:rPr>
          <w:rFonts w:ascii="DM Sans" w:cs="DM Sans" w:eastAsia="DM Sans" w:hAnsi="DM Sans"/>
          <w:b/>
          <w:bCs/>
          <w:color w:val="FF6600"/>
          <w:spacing w:val="20"/>
          <w:sz w:val="18"/>
          <w:szCs w:val="18"/>
        </w:rPr>
        <w:t xml:space="preserve">THE READ</w:t>
      </w:r>
    </w:p>
    <w:tbl>
      <w:tblPr>
        <w:tblW w:type="dxa" w:w="9360"/>
        <w:tblBorders>
          <w:top w:val="single" w:color="D8DCE3" w:sz="2"/>
          <w:left w:val="none" w:color="FFFFFF" w:sz="0"/>
          <w:bottom w:val="single" w:color="D8DCE3" w:sz="2"/>
          <w:right w:val="none" w:color="FFFFFF" w:sz="0"/>
          <w:insideH w:val="single" w:color="D8DCE3" w:sz="2"/>
          <w:insideV w:val="none" w:color="FFFFFF" w:sz="0"/>
        </w:tblBorders>
        <w:tblCellMar>
          <w:top w:w="60" w:type="dxa"/>
          <w:left w:w="100" w:type="dxa"/>
          <w:bottom w:w="60" w:type="dxa"/>
          <w:right w:w="100" w:type="dxa"/>
        </w:tblCellMar>
      </w:tblPr>
      <w:tblGrid>
        <w:gridCol w:w="2100"/>
        <w:gridCol w:w="1500"/>
        <w:gridCol w:w="5760"/>
      </w:tblGrid>
      <w:tr>
        <w:trPr>
          <w:tblHeader/>
        </w:trPr>
        <w:tc>
          <w:tcPr>
            <w:tcW w:type="dxa" w:w="2100"/>
            <w:shd w:fill="0A1628" w:val="clear"/>
            <w:tcMar>
              <w:top w:type="dxa" w:w="100"/>
              <w:left w:type="dxa" w:w="140"/>
              <w:bottom w:type="dxa" w:w="100"/>
              <w:right w:type="dxa" w:w="140"/>
            </w:tcMar>
          </w:tcPr>
          <w:p>
            <w:pPr>
              <w:spacing w:after="0" w:line="250"/>
            </w:pPr>
            <w:r>
              <w:rPr>
                <w:rFonts w:ascii="DM Sans" w:cs="DM Sans" w:eastAsia="DM Sans" w:hAnsi="DM Sans"/>
                <w:b/>
                <w:bCs/>
                <w:color w:val="FFFFFF"/>
                <w:sz w:val="17"/>
                <w:szCs w:val="17"/>
              </w:rPr>
              <w:t xml:space="preserve">REPORT</w:t>
            </w:r>
          </w:p>
        </w:tc>
        <w:tc>
          <w:tcPr>
            <w:tcW w:type="dxa" w:w="1500"/>
            <w:shd w:fill="0A1628" w:val="clear"/>
            <w:tcMar>
              <w:top w:type="dxa" w:w="100"/>
              <w:left w:type="dxa" w:w="140"/>
              <w:bottom w:type="dxa" w:w="100"/>
              <w:right w:type="dxa" w:w="140"/>
            </w:tcMar>
          </w:tcPr>
          <w:p>
            <w:pPr>
              <w:spacing w:after="0" w:line="250"/>
            </w:pPr>
            <w:r>
              <w:rPr>
                <w:rFonts w:ascii="DM Sans" w:cs="DM Sans" w:eastAsia="DM Sans" w:hAnsi="DM Sans"/>
                <w:b/>
                <w:bCs/>
                <w:color w:val="FFFFFF"/>
                <w:sz w:val="17"/>
                <w:szCs w:val="17"/>
              </w:rPr>
              <w:t xml:space="preserve">TIMELINE</w:t>
            </w:r>
          </w:p>
        </w:tc>
        <w:tc>
          <w:tcPr>
            <w:tcW w:type="dxa" w:w="5760"/>
            <w:shd w:fill="0A1628" w:val="clear"/>
            <w:tcMar>
              <w:top w:type="dxa" w:w="100"/>
              <w:left w:type="dxa" w:w="140"/>
              <w:bottom w:type="dxa" w:w="100"/>
              <w:right w:type="dxa" w:w="140"/>
            </w:tcMar>
          </w:tcPr>
          <w:p>
            <w:pPr>
              <w:spacing w:after="0" w:line="250"/>
            </w:pPr>
            <w:r>
              <w:rPr>
                <w:rFonts w:ascii="DM Sans" w:cs="DM Sans" w:eastAsia="DM Sans" w:hAnsi="DM Sans"/>
                <w:b/>
                <w:bCs/>
                <w:color w:val="FFFFFF"/>
                <w:sz w:val="17"/>
                <w:szCs w:val="17"/>
              </w:rPr>
              <w:t xml:space="preserve">WHAT IT SURFACES</w:t>
            </w:r>
          </w:p>
        </w:tc>
      </w:tr>
      <w:tr>
        <w:tc>
          <w:tcPr>
            <w:tcW w:type="dxa" w:w="2100"/>
            <w:tcMar>
              <w:top w:type="dxa" w:w="100"/>
              <w:left w:type="dxa" w:w="140"/>
              <w:bottom w:type="dxa" w:w="100"/>
              <w:right w:type="dxa" w:w="140"/>
            </w:tcMar>
          </w:tcPr>
          <w:p>
            <w:pPr>
              <w:spacing w:after="0" w:line="250"/>
            </w:pPr>
            <w:r>
              <w:rPr>
                <w:rFonts w:ascii="DM Sans" w:cs="DM Sans" w:eastAsia="DM Sans" w:hAnsi="DM Sans"/>
                <w:b/>
                <w:bCs/>
                <w:color w:val="0073E6"/>
                <w:sz w:val="20"/>
                <w:szCs w:val="20"/>
              </w:rPr>
              <w:t xml:space="preserve">GTM Signal Assessment</w:t>
            </w:r>
          </w:p>
        </w:tc>
        <w:tc>
          <w:tcPr>
            <w:tcW w:type="dxa" w:w="1500"/>
            <w:tcMar>
              <w:top w:type="dxa" w:w="100"/>
              <w:left w:type="dxa" w:w="140"/>
              <w:bottom w:type="dxa" w:w="100"/>
              <w:right w:type="dxa" w:w="140"/>
            </w:tcMar>
          </w:tcPr>
          <w:p>
            <w:pPr>
              <w:spacing w:after="0" w:line="250"/>
            </w:pPr>
            <w:r>
              <w:rPr>
                <w:rFonts w:ascii="DM Sans" w:cs="DM Sans" w:eastAsia="DM Sans" w:hAnsi="DM Sans"/>
                <w:b w:val="false"/>
                <w:bCs w:val="false"/>
                <w:color w:val="5B6472"/>
                <w:sz w:val="20"/>
                <w:szCs w:val="20"/>
              </w:rPr>
              <w:t xml:space="preserve">About 30 days</w:t>
            </w:r>
          </w:p>
        </w:tc>
        <w:tc>
          <w:tcPr>
            <w:tcW w:type="dxa" w:w="5760"/>
            <w:tcMar>
              <w:top w:type="dxa" w:w="100"/>
              <w:left w:type="dxa" w:w="140"/>
              <w:bottom w:type="dxa" w:w="100"/>
              <w:right w:type="dxa" w:w="140"/>
            </w:tcMar>
          </w:tcPr>
          <w:p>
            <w:pPr>
              <w:spacing w:after="0" w:line="250"/>
            </w:pPr>
            <w:r>
              <w:rPr>
                <w:rFonts w:ascii="DM Sans" w:cs="DM Sans" w:eastAsia="DM Sans" w:hAnsi="DM Sans"/>
                <w:b w:val="false"/>
                <w:bCs w:val="false"/>
                <w:color w:val="0A1628"/>
                <w:sz w:val="20"/>
                <w:szCs w:val="20"/>
              </w:rPr>
              <w:t xml:space="preserve">The full baseline, across both lenses. Sales: where pipeline leaks, whether deal stages mean what they say, buying-committee coverage, and CRM data quality. Demand: whether inbound gets followed up and how fast, where the funnel loses people, and whether you show up when a buyer asks ChatGPT, Perplexity, Gemini, or Claude for a vendor like you. Seven scored dimensions, each finding priced against the pipeline it risks, plus a board-grade view of GTM efficiency above the score.</w:t>
            </w:r>
          </w:p>
        </w:tc>
      </w:tr>
    </w:tbl>
    <w:p>
      <w:pPr>
        <w:spacing w:after="30" w:line="240"/>
      </w:pPr>
      <w:r>
        <w:rPr>
          <w:rFonts w:ascii="DM Sans" w:cs="DM Sans" w:eastAsia="DM Sans" w:hAnsi="DM Sans"/>
          <w:b w:val="false"/>
          <w:bCs w:val="false"/>
          <w:i w:val="false"/>
          <w:iCs w:val="false"/>
          <w:color w:val="0A1628"/>
          <w:sz w:val="22"/>
          <w:szCs w:val="22"/>
        </w:rPr>
        <w:t xml:space="preserve">Also available: the Stack Health Report, 10 business days, a single Signal-to-Spend number on what your go-to-market software spend actually returns. Credits 100 percent toward the full assessment.</w:t>
      </w:r>
    </w:p>
    <w:p>
      <w:pPr>
        <w:pBdr>
          <w:bottom w:val="single" w:color="D8DCE3" w:sz="4" w:space="4"/>
        </w:pBdr>
        <w:spacing w:after="60" w:before="60"/>
      </w:pPr>
      <w:r>
        <w:rPr>
          <w:rFonts w:ascii="DM Sans" w:cs="DM Sans" w:eastAsia="DM Sans" w:hAnsi="DM Sans"/>
          <w:b/>
          <w:bCs/>
          <w:color w:val="FF6600"/>
          <w:spacing w:val="20"/>
          <w:sz w:val="18"/>
          <w:szCs w:val="18"/>
        </w:rPr>
        <w:t xml:space="preserve">WHAT COMES BACK</w:t>
      </w:r>
    </w:p>
    <w:p>
      <w:pPr>
        <w:spacing w:after="30" w:line="240"/>
      </w:pPr>
      <w:r>
        <w:rPr>
          <w:rFonts w:ascii="DM Sans" w:cs="DM Sans" w:eastAsia="DM Sans" w:hAnsi="DM Sans"/>
          <w:b w:val="false"/>
          <w:bCs w:val="false"/>
          <w:i w:val="false"/>
          <w:iCs w:val="false"/>
          <w:color w:val="0A1628"/>
          <w:sz w:val="22"/>
          <w:szCs w:val="22"/>
        </w:rPr>
        <w:t xml:space="preserve">A readout, not a login. Findings ranked by dollar impact, each traced to the data behind it, and a short list of what to fix first. Written for your operating team and forwardable to your board without translation.</w:t>
      </w:r>
    </w:p>
    <w:p>
      <w:pPr>
        <w:spacing w:after="30" w:line="240"/>
      </w:pPr>
      <w:r>
        <w:rPr>
          <w:rFonts w:ascii="DM Sans" w:cs="DM Sans" w:eastAsia="DM Sans" w:hAnsi="DM Sans"/>
          <w:b w:val="false"/>
          <w:bCs w:val="false"/>
          <w:i w:val="false"/>
          <w:iCs w:val="false"/>
          <w:color w:val="0A1628"/>
          <w:sz w:val="22"/>
          <w:szCs w:val="22"/>
        </w:rPr>
        <w:t xml:space="preserve">If you want it to keep running, it repeats on a cadence and reports the delta, catching the next leak at day 30 instead of day 90 while it is still recoverable.</w:t>
      </w:r>
    </w:p>
    <w:p>
      <w:pPr>
        <w:pBdr>
          <w:bottom w:val="single" w:color="D8DCE3" w:sz="4" w:space="4"/>
        </w:pBdr>
        <w:spacing w:after="60" w:before="60"/>
      </w:pPr>
      <w:r>
        <w:rPr>
          <w:rFonts w:ascii="DM Sans" w:cs="DM Sans" w:eastAsia="DM Sans" w:hAnsi="DM Sans"/>
          <w:b/>
          <w:bCs/>
          <w:color w:val="FF6600"/>
          <w:spacing w:val="20"/>
          <w:sz w:val="18"/>
          <w:szCs w:val="18"/>
        </w:rPr>
        <w:t xml:space="preserve">NOBODY HAS TO LOG IN</w:t>
      </w:r>
    </w:p>
    <w:p>
      <w:pPr>
        <w:spacing w:after="30" w:line="240"/>
      </w:pPr>
      <w:r>
        <w:rPr>
          <w:rFonts w:ascii="DM Sans" w:cs="DM Sans" w:eastAsia="DM Sans" w:hAnsi="DM Sans"/>
          <w:b w:val="false"/>
          <w:bCs w:val="false"/>
          <w:i w:val="false"/>
          <w:iCs w:val="false"/>
          <w:color w:val="0A1628"/>
          <w:sz w:val="22"/>
          <w:szCs w:val="22"/>
        </w:rPr>
        <w:t xml:space="preserve">Read-only access to HubSpot or Salesforce and whatever else sits in the stack. Nothing installed, nothing written back, access revocable at any time. We read the stack you already have rather than asking you to change it, and a diagnostic engagement clears procurement in weeks.</w:t>
      </w:r>
    </w:p>
    <w:p>
      <w:pPr>
        <w:pBdr>
          <w:bottom w:val="single" w:color="D8DCE3" w:sz="4" w:space="4"/>
        </w:pBdr>
        <w:spacing w:after="60" w:before="60"/>
      </w:pPr>
      <w:r>
        <w:rPr>
          <w:rFonts w:ascii="DM Sans" w:cs="DM Sans" w:eastAsia="DM Sans" w:hAnsi="DM Sans"/>
          <w:b/>
          <w:bCs/>
          <w:color w:val="FF6600"/>
          <w:spacing w:val="20"/>
          <w:sz w:val="18"/>
          <w:szCs w:val="18"/>
        </w:rPr>
        <w:t xml:space="preserve">WHY IT HOLDS UP WITH YOUR BOARD</w:t>
      </w:r>
    </w:p>
    <w:p>
      <w:pPr>
        <w:spacing w:after="30" w:line="240"/>
      </w:pPr>
      <w:r>
        <w:rPr>
          <w:rFonts w:ascii="DM Sans" w:cs="DM Sans" w:eastAsia="DM Sans" w:hAnsi="DM Sans"/>
          <w:b w:val="false"/>
          <w:bCs w:val="false"/>
          <w:i w:val="false"/>
          <w:iCs w:val="false"/>
          <w:color w:val="0A1628"/>
          <w:sz w:val="22"/>
          <w:szCs w:val="22"/>
        </w:rPr>
        <w:t xml:space="preserve">Nothing in it is a black box, so the findings survive the follow-up questions your board and your sponsor will ask. McKinsey's June 2026 study of 471 PE-backed companies argued for the same sequence: establish where a company actually is before deciding where to invest. Better to walk in with that number than to be handed one.</w:t>
      </w:r>
    </w:p>
    <w:p>
      <w:pPr>
        <w:pBdr>
          <w:bottom w:val="single" w:color="D8DCE3" w:sz="4" w:space="4"/>
        </w:pBdr>
        <w:spacing w:after="60" w:before="60"/>
      </w:pPr>
      <w:r>
        <w:rPr>
          <w:rFonts w:ascii="DM Sans" w:cs="DM Sans" w:eastAsia="DM Sans" w:hAnsi="DM Sans"/>
          <w:b/>
          <w:bCs/>
          <w:color w:val="FF6600"/>
          <w:spacing w:val="20"/>
          <w:sz w:val="18"/>
          <w:szCs w:val="18"/>
        </w:rPr>
        <w:t xml:space="preserve">NEXT STEP</w:t>
      </w:r>
    </w:p>
    <w:p>
      <w:pPr>
        <w:spacing w:after="30" w:line="240"/>
      </w:pPr>
      <w:r>
        <w:rPr>
          <w:rFonts w:ascii="DM Sans" w:cs="DM Sans" w:eastAsia="DM Sans" w:hAnsi="DM Sans"/>
          <w:b w:val="false"/>
          <w:bCs w:val="false"/>
          <w:i w:val="false"/>
          <w:iCs w:val="false"/>
          <w:color w:val="0A1628"/>
          <w:sz w:val="22"/>
          <w:szCs w:val="22"/>
        </w:rPr>
        <w:t xml:space="preserve">Thirty minutes. Bring whoever owns revenue operations. We walk the assessment, you decide whether it is worth running, and if the answer is no, that is a fine outcome. No deck.</w:t>
      </w:r>
    </w:p>
    <w:p>
      <w:pPr>
        <w:spacing w:after="40" w:line="250"/>
      </w:pPr>
      <w:r>
        <w:rPr>
          <w:rFonts w:ascii="DM Sans" w:cs="DM Sans" w:eastAsia="DM Sans" w:hAnsi="DM Sans"/>
          <w:color w:val="0A1628"/>
          <w:sz w:val="22"/>
          <w:szCs w:val="22"/>
        </w:rPr>
        <w:t xml:space="preserve">Marty Berman  ·  Founder &amp; CEO, Scalient IQ  ·  marty@scalientiq.com</w:t>
      </w:r>
    </w:p>
    <w:sectPr>
      <w:footerReference w:type="default" r:id="rId7"/>
      <w:pgSz w:w="12240" w:h="15840" w:orient="portrait"/>
      <w:pgMar w:top="1152" w:right="1440" w:bottom="792"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CE3" w:sz="4" w:space="6"/>
      </w:pBdr>
      <w:spacing w:before="60"/>
      <w:jc w:val="center"/>
    </w:pPr>
    <w:r>
      <w:rPr>
        <w:rFonts w:ascii="DM Sans" w:cs="DM Sans" w:eastAsia="DM Sans" w:hAnsi="DM Sans"/>
        <w:color w:val="5B6472"/>
        <w:sz w:val="16"/>
        <w:szCs w:val="16"/>
      </w:rPr>
      <w:t xml:space="preserve">Scalient IQ   ·   </w:t>
    </w:r>
    <w:hyperlink w:history="1" r:id="rIduaxchtvjynapskydhs9zr">
      <w:r>
        <w:rPr>
          <w:rFonts w:ascii="DM Sans" w:cs="DM Sans" w:eastAsia="DM Sans" w:hAnsi="DM Sans"/>
          <w:b w:val="false"/>
          <w:bCs w:val="false"/>
          <w:color w:val="5B6472"/>
          <w:sz w:val="16"/>
          <w:szCs w:val="16"/>
          <w:u w:val="single" w:color="5B6472"/>
        </w:rPr>
        <w:t xml:space="preserve">scalientiq.com</w:t>
      </w:r>
    </w:hyperlink>
    <w:r>
      <w:rPr>
        <w:rFonts w:ascii="DM Sans" w:cs="DM Sans" w:eastAsia="DM Sans" w:hAnsi="DM Sans"/>
        <w:color w:val="5B6472"/>
        <w:sz w:val="16"/>
        <w:szCs w:val="16"/>
      </w:rPr>
      <w:t xml:space="preserve">   ·   </w:t>
    </w:r>
    <w:hyperlink w:history="1" r:id="rId0wxs2w1ubk11mqqm34uwe">
      <w:r>
        <w:rPr>
          <w:rFonts w:ascii="DM Sans" w:cs="DM Sans" w:eastAsia="DM Sans" w:hAnsi="DM Sans"/>
          <w:b w:val="false"/>
          <w:bCs w:val="false"/>
          <w:color w:val="5B6472"/>
          <w:sz w:val="16"/>
          <w:szCs w:val="16"/>
          <w:u w:val="single" w:color="5B6472"/>
        </w:rPr>
        <w:t xml:space="preserve">marty@scalientiq.com</w:t>
      </w:r>
    </w:hyperlink>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awo7kcj4c8kowlg23hmbq" Type="http://schemas.openxmlformats.org/officeDocument/2006/relationships/hyperlink" Target="https://scalientiq.com" TargetMode="Externa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uaxchtvjynapskydhs9zr" Type="http://schemas.openxmlformats.org/officeDocument/2006/relationships/hyperlink" Target="https://scalientiq.com" TargetMode="External"/><Relationship Id="rId0wxs2w1ubk11mqqm34uwe" Type="http://schemas.openxmlformats.org/officeDocument/2006/relationships/hyperlink" Target="mailto:marty@scalientiq.com"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2026-08-21T01:50:15.807Z</dcterms:created>
  <dcterms:modified xsi:type="dcterms:W3CDTF">2026-08-21T01:50:15.808Z</dcterms:modified>
</cp:coreProperties>
</file>

<file path=docProps/custom.xml><?xml version="1.0" encoding="utf-8"?>
<Properties xmlns="http://schemas.openxmlformats.org/officeDocument/2006/custom-properties" xmlns:vt="http://schemas.openxmlformats.org/officeDocument/2006/docPropsVTypes"/>
</file>