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AviTON</w:t>
      </w:r>
    </w:p>
    <w:p>
      <w:pPr>
        <w:pStyle w:val="Subtitle"/>
      </w:pPr>
      <w:r>
        <w:t>System Documentation</w:t>
      </w:r>
    </w:p>
    <w:p>
      <w:pPr>
        <w:pStyle w:val="Quiet"/>
      </w:pPr>
      <w:r>
        <w:t>Purpose, setup, user guide and operating rules</w:t>
      </w:r>
    </w:p>
    <w:p>
      <w:pPr>
        <w:pStyle w:val="Quiet"/>
      </w:pPr>
      <w:r>
        <w:t>Web Application Development  |  Prepared 31 August 2026  |  For team review</w:t>
      </w:r>
    </w:p>
    <w:p>
      <w:pPr>
        <w:pStyle w:val="Heading1"/>
      </w:pPr>
      <w:r>
        <w:t>Purpose and users</w:t>
      </w:r>
    </w:p>
    <w:p>
      <w:r>
        <w:t>AviTON is an inventory borrowing website for aviation tools and equipment. It records who requests an item, how many units are released, when the release occurs and when an administrator confirms their return. It helps staff see available stock and trace borrowing activity.</w:t>
      </w:r>
    </w:p>
    <w:p>
      <w:r>
        <w:t>The proposal identifies inventory staff, aircraft maintenance technicians, aviation engineers, janitors and office workers as intended users. The application implements two account roles: USER and ADMIN. Staff who confirm handovers use ADMIN accounts.</w:t>
      </w:r>
    </w:p>
    <w:p>
      <w:pPr>
        <w:pStyle w:val="Heading1"/>
      </w:pPr>
      <w:r>
        <w:t>Scope</w:t>
      </w:r>
    </w:p>
    <w:p>
      <w:pPr>
        <w:pStyle w:val="NumberedStep"/>
        <w:numPr>
          <w:ilvl w:val="0"/>
          <w:numId w:val="10"/>
        </w:numPr>
      </w:pPr>
      <w:r>
        <w:t>Account registration, login, logout and password changes using PHP sessions.</w:t>
      </w:r>
    </w:p>
    <w:p>
      <w:pPr>
        <w:pStyle w:val="NumberedStep"/>
        <w:numPr>
          <w:ilvl w:val="0"/>
          <w:numId w:val="10"/>
        </w:numPr>
      </w:pPr>
      <w:r>
        <w:t>Equipment create, read, update and permanent delete; search, stock totals and change history.</w:t>
      </w:r>
    </w:p>
    <w:p>
      <w:pPr>
        <w:pStyle w:val="NumberedStep"/>
        <w:numPr>
          <w:ilvl w:val="0"/>
          <w:numId w:val="10"/>
        </w:numPr>
      </w:pPr>
      <w:r>
        <w:t>Quantity-based borrowing requests, administrator release confirmation and administrator return confirmation.</w:t>
      </w:r>
    </w:p>
    <w:p>
      <w:pPr>
        <w:pStyle w:val="NumberedStep"/>
        <w:numPr>
          <w:ilvl w:val="0"/>
          <w:numId w:val="10"/>
        </w:numPr>
      </w:pPr>
      <w:r>
        <w:t>Borrowing records with status filters, timestamps, actor names and joined inventory reports.</w:t>
      </w:r>
    </w:p>
    <w:tbl>
      <w:tblPr>
        <w:tblW w:type="dxa" w:w="9360"/>
        <w:jc w:val="left"/>
        <w:tblLayout w:type="fixed"/>
        <w:tblLook w:firstColumn="1" w:firstRow="1" w:lastColumn="0" w:lastRow="0" w:noHBand="0" w:noVBand="1" w:val="04A0"/>
        <w:tblInd w:type="dxa" w:w="120"/>
        <w:tblBorders>
          <w:top w:val="single" w:sz="4" w:color="D7DFE7"/>
          <w:left w:val="single" w:sz="4" w:color="D7DFE7"/>
          <w:bottom w:val="single" w:sz="4" w:color="D7DFE7"/>
          <w:right w:val="single" w:sz="4" w:color="D7DFE7"/>
          <w:insideH w:val="single" w:sz="4" w:color="D7DFE7"/>
          <w:insideV w:val="single" w:sz="4" w:color="D7DFE7"/>
        </w:tblBorders>
      </w:tblPr>
      <w:tblGrid>
        <w:gridCol w:w="4140"/>
        <w:gridCol w:w="2430"/>
        <w:gridCol w:w="2790"/>
      </w:tblGrid>
      <w:tr>
        <w:trPr>
          <w:cantSplit/>
          <w:tblHeader/>
        </w:trPr>
        <w:tc>
          <w:tcPr>
            <w:tcW w:type="dxa" w:w="4140"/>
            <w:tcMar>
              <w:top w:w="80" w:type="dxa"/>
              <w:bottom w:w="80" w:type="dxa"/>
              <w:start w:w="120" w:type="dxa"/>
              <w:end w:w="120" w:type="dxa"/>
            </w:tcMar>
            <w:vAlign w:val="center"/>
            <w:shd w:fill="F2F4F7" w:val="clear"/>
          </w:tcPr>
          <w:p>
            <w:pPr>
              <w:pStyle w:val="TableHeader"/>
              <w:keepNext w:val="0"/>
            </w:pPr>
            <w:r>
              <w:t>Capability</w:t>
            </w:r>
          </w:p>
        </w:tc>
        <w:tc>
          <w:tcPr>
            <w:tcW w:type="dxa" w:w="2430"/>
            <w:tcMar>
              <w:top w:w="80" w:type="dxa"/>
              <w:bottom w:w="80" w:type="dxa"/>
              <w:start w:w="120" w:type="dxa"/>
              <w:end w:w="120" w:type="dxa"/>
            </w:tcMar>
            <w:vAlign w:val="center"/>
            <w:shd w:fill="F2F4F7" w:val="clear"/>
          </w:tcPr>
          <w:p>
            <w:pPr>
              <w:pStyle w:val="TableHeader"/>
              <w:keepNext w:val="0"/>
            </w:pPr>
            <w:r>
              <w:t>USER</w:t>
            </w:r>
          </w:p>
        </w:tc>
        <w:tc>
          <w:tcPr>
            <w:tcW w:type="dxa" w:w="2790"/>
            <w:tcMar>
              <w:top w:w="80" w:type="dxa"/>
              <w:bottom w:w="80" w:type="dxa"/>
              <w:start w:w="120" w:type="dxa"/>
              <w:end w:w="120" w:type="dxa"/>
            </w:tcMar>
            <w:vAlign w:val="center"/>
            <w:shd w:fill="F2F4F7" w:val="clear"/>
          </w:tcPr>
          <w:p>
            <w:pPr>
              <w:pStyle w:val="TableHeader"/>
              <w:keepNext w:val="0"/>
            </w:pPr>
            <w:r>
              <w:t>ADMIN</w:t>
            </w:r>
          </w:p>
        </w:tc>
      </w:tr>
      <w:tr>
        <w:trPr>
          <w:cantSplit/>
        </w:trPr>
        <w:tc>
          <w:tcPr>
            <w:tcW w:type="dxa" w:w="4140"/>
            <w:tcMar>
              <w:top w:w="80" w:type="dxa"/>
              <w:bottom w:w="80" w:type="dxa"/>
              <w:start w:w="120" w:type="dxa"/>
              <w:end w:w="120" w:type="dxa"/>
            </w:tcMar>
            <w:vAlign w:val="center"/>
          </w:tcPr>
          <w:p>
            <w:pPr>
              <w:pStyle w:val="TableText"/>
              <w:keepNext w:val="0"/>
            </w:pPr>
            <w:r>
              <w:t>Browse equipment</w:t>
            </w:r>
          </w:p>
        </w:tc>
        <w:tc>
          <w:tcPr>
            <w:tcW w:type="dxa" w:w="2430"/>
            <w:tcMar>
              <w:top w:w="80" w:type="dxa"/>
              <w:bottom w:w="80" w:type="dxa"/>
              <w:start w:w="120" w:type="dxa"/>
              <w:end w:w="120" w:type="dxa"/>
            </w:tcMar>
            <w:vAlign w:val="center"/>
          </w:tcPr>
          <w:p>
            <w:pPr>
              <w:pStyle w:val="TableText"/>
              <w:keepNext w:val="0"/>
            </w:pPr>
            <w:r>
              <w:t>Yes</w:t>
            </w:r>
          </w:p>
        </w:tc>
        <w:tc>
          <w:tcPr>
            <w:tcW w:type="dxa" w:w="2790"/>
            <w:tcMar>
              <w:top w:w="80" w:type="dxa"/>
              <w:bottom w:w="80" w:type="dxa"/>
              <w:start w:w="120" w:type="dxa"/>
              <w:end w:w="120" w:type="dxa"/>
            </w:tcMar>
            <w:vAlign w:val="center"/>
          </w:tcPr>
          <w:p>
            <w:pPr>
              <w:pStyle w:val="TableText"/>
              <w:keepNext w:val="0"/>
            </w:pPr>
            <w:r>
              <w:t>Yes</w:t>
            </w:r>
          </w:p>
        </w:tc>
      </w:tr>
      <w:tr>
        <w:trPr>
          <w:cantSplit/>
        </w:trPr>
        <w:tc>
          <w:tcPr>
            <w:tcW w:type="dxa" w:w="4140"/>
            <w:tcMar>
              <w:top w:w="80" w:type="dxa"/>
              <w:bottom w:w="80" w:type="dxa"/>
              <w:start w:w="120" w:type="dxa"/>
              <w:end w:w="120" w:type="dxa"/>
            </w:tcMar>
            <w:vAlign w:val="center"/>
          </w:tcPr>
          <w:p>
            <w:pPr>
              <w:pStyle w:val="TableText"/>
              <w:keepNext w:val="0"/>
            </w:pPr>
            <w:r>
              <w:t>Request or return borrowed units</w:t>
            </w:r>
          </w:p>
        </w:tc>
        <w:tc>
          <w:tcPr>
            <w:tcW w:type="dxa" w:w="2430"/>
            <w:tcMar>
              <w:top w:w="80" w:type="dxa"/>
              <w:bottom w:w="80" w:type="dxa"/>
              <w:start w:w="120" w:type="dxa"/>
              <w:end w:w="120" w:type="dxa"/>
            </w:tcMar>
            <w:vAlign w:val="center"/>
          </w:tcPr>
          <w:p>
            <w:pPr>
              <w:pStyle w:val="TableText"/>
              <w:keepNext w:val="0"/>
            </w:pPr>
            <w:r>
              <w:t>Own records only</w:t>
            </w:r>
          </w:p>
        </w:tc>
        <w:tc>
          <w:tcPr>
            <w:tcW w:type="dxa" w:w="2790"/>
            <w:tcMar>
              <w:top w:w="80" w:type="dxa"/>
              <w:bottom w:w="80" w:type="dxa"/>
              <w:start w:w="120" w:type="dxa"/>
              <w:end w:w="120" w:type="dxa"/>
            </w:tcMar>
            <w:vAlign w:val="center"/>
          </w:tcPr>
          <w:p>
            <w:pPr>
              <w:pStyle w:val="TableText"/>
              <w:keepNext w:val="0"/>
            </w:pPr>
            <w:r>
              <w:t>No; use a USER account</w:t>
            </w:r>
          </w:p>
        </w:tc>
      </w:tr>
      <w:tr>
        <w:trPr>
          <w:cantSplit/>
        </w:trPr>
        <w:tc>
          <w:tcPr>
            <w:tcW w:type="dxa" w:w="4140"/>
            <w:tcMar>
              <w:top w:w="80" w:type="dxa"/>
              <w:bottom w:w="80" w:type="dxa"/>
              <w:start w:w="120" w:type="dxa"/>
              <w:end w:w="120" w:type="dxa"/>
            </w:tcMar>
            <w:vAlign w:val="center"/>
          </w:tcPr>
          <w:p>
            <w:pPr>
              <w:pStyle w:val="TableText"/>
              <w:keepNext w:val="0"/>
            </w:pPr>
            <w:r>
              <w:t>Manage equipment</w:t>
            </w:r>
          </w:p>
        </w:tc>
        <w:tc>
          <w:tcPr>
            <w:tcW w:type="dxa" w:w="2430"/>
            <w:tcMar>
              <w:top w:w="80" w:type="dxa"/>
              <w:bottom w:w="80" w:type="dxa"/>
              <w:start w:w="120" w:type="dxa"/>
              <w:end w:w="120" w:type="dxa"/>
            </w:tcMar>
            <w:vAlign w:val="center"/>
          </w:tcPr>
          <w:p>
            <w:pPr>
              <w:pStyle w:val="TableText"/>
              <w:keepNext w:val="0"/>
            </w:pPr>
            <w:r>
              <w:t>No</w:t>
            </w:r>
          </w:p>
        </w:tc>
        <w:tc>
          <w:tcPr>
            <w:tcW w:type="dxa" w:w="2790"/>
            <w:tcMar>
              <w:top w:w="80" w:type="dxa"/>
              <w:bottom w:w="80" w:type="dxa"/>
              <w:start w:w="120" w:type="dxa"/>
              <w:end w:w="120" w:type="dxa"/>
            </w:tcMar>
            <w:vAlign w:val="center"/>
          </w:tcPr>
          <w:p>
            <w:pPr>
              <w:pStyle w:val="TableText"/>
              <w:keepNext w:val="0"/>
            </w:pPr>
            <w:r>
              <w:t>Yes</w:t>
            </w:r>
          </w:p>
        </w:tc>
      </w:tr>
      <w:tr>
        <w:trPr>
          <w:cantSplit/>
        </w:trPr>
        <w:tc>
          <w:tcPr>
            <w:tcW w:type="dxa" w:w="4140"/>
            <w:tcMar>
              <w:top w:w="80" w:type="dxa"/>
              <w:bottom w:w="80" w:type="dxa"/>
              <w:start w:w="120" w:type="dxa"/>
              <w:end w:w="120" w:type="dxa"/>
            </w:tcMar>
            <w:vAlign w:val="center"/>
          </w:tcPr>
          <w:p>
            <w:pPr>
              <w:pStyle w:val="TableText"/>
              <w:keepNext w:val="0"/>
            </w:pPr>
            <w:r>
              <w:t>Confirm release / receipt</w:t>
            </w:r>
          </w:p>
        </w:tc>
        <w:tc>
          <w:tcPr>
            <w:tcW w:type="dxa" w:w="2430"/>
            <w:tcMar>
              <w:top w:w="80" w:type="dxa"/>
              <w:bottom w:w="80" w:type="dxa"/>
              <w:start w:w="120" w:type="dxa"/>
              <w:end w:w="120" w:type="dxa"/>
            </w:tcMar>
            <w:vAlign w:val="center"/>
          </w:tcPr>
          <w:p>
            <w:pPr>
              <w:pStyle w:val="TableText"/>
              <w:keepNext w:val="0"/>
            </w:pPr>
            <w:r>
              <w:t>No</w:t>
            </w:r>
          </w:p>
        </w:tc>
        <w:tc>
          <w:tcPr>
            <w:tcW w:type="dxa" w:w="2790"/>
            <w:tcMar>
              <w:top w:w="80" w:type="dxa"/>
              <w:bottom w:w="80" w:type="dxa"/>
              <w:start w:w="120" w:type="dxa"/>
              <w:end w:w="120" w:type="dxa"/>
            </w:tcMar>
            <w:vAlign w:val="center"/>
          </w:tcPr>
          <w:p>
            <w:pPr>
              <w:pStyle w:val="TableText"/>
              <w:keepNext w:val="0"/>
            </w:pPr>
            <w:r>
              <w:t>Yes</w:t>
            </w:r>
          </w:p>
        </w:tc>
      </w:tr>
      <w:tr>
        <w:trPr>
          <w:cantSplit/>
        </w:trPr>
        <w:tc>
          <w:tcPr>
            <w:tcW w:type="dxa" w:w="4140"/>
            <w:tcMar>
              <w:top w:w="80" w:type="dxa"/>
              <w:bottom w:w="80" w:type="dxa"/>
              <w:start w:w="120" w:type="dxa"/>
              <w:end w:w="120" w:type="dxa"/>
            </w:tcMar>
            <w:vAlign w:val="center"/>
          </w:tcPr>
          <w:p>
            <w:pPr>
              <w:pStyle w:val="TableText"/>
              <w:keepNext w:val="0"/>
            </w:pPr>
            <w:r>
              <w:t>View borrowing records</w:t>
            </w:r>
          </w:p>
        </w:tc>
        <w:tc>
          <w:tcPr>
            <w:tcW w:type="dxa" w:w="2430"/>
            <w:tcMar>
              <w:top w:w="80" w:type="dxa"/>
              <w:bottom w:w="80" w:type="dxa"/>
              <w:start w:w="120" w:type="dxa"/>
              <w:end w:w="120" w:type="dxa"/>
            </w:tcMar>
            <w:vAlign w:val="center"/>
          </w:tcPr>
          <w:p>
            <w:pPr>
              <w:pStyle w:val="TableText"/>
              <w:keepNext w:val="0"/>
            </w:pPr>
            <w:r>
              <w:t>Own records</w:t>
            </w:r>
          </w:p>
        </w:tc>
        <w:tc>
          <w:tcPr>
            <w:tcW w:type="dxa" w:w="2790"/>
            <w:tcMar>
              <w:top w:w="80" w:type="dxa"/>
              <w:bottom w:w="80" w:type="dxa"/>
              <w:start w:w="120" w:type="dxa"/>
              <w:end w:w="120" w:type="dxa"/>
            </w:tcMar>
            <w:vAlign w:val="center"/>
          </w:tcPr>
          <w:p>
            <w:pPr>
              <w:pStyle w:val="TableText"/>
              <w:keepNext w:val="0"/>
            </w:pPr>
            <w:r>
              <w:t>All records</w:t>
            </w:r>
          </w:p>
        </w:tc>
      </w:tr>
      <w:tr>
        <w:trPr>
          <w:cantSplit/>
        </w:trPr>
        <w:tc>
          <w:tcPr>
            <w:tcW w:type="dxa" w:w="4140"/>
            <w:tcMar>
              <w:top w:w="80" w:type="dxa"/>
              <w:bottom w:w="80" w:type="dxa"/>
              <w:start w:w="120" w:type="dxa"/>
              <w:end w:w="120" w:type="dxa"/>
            </w:tcMar>
            <w:vAlign w:val="center"/>
          </w:tcPr>
          <w:p>
            <w:pPr>
              <w:pStyle w:val="TableText"/>
              <w:keepNext w:val="0"/>
            </w:pPr>
            <w:r>
              <w:t>View inventory reports</w:t>
            </w:r>
          </w:p>
        </w:tc>
        <w:tc>
          <w:tcPr>
            <w:tcW w:type="dxa" w:w="2430"/>
            <w:tcMar>
              <w:top w:w="80" w:type="dxa"/>
              <w:bottom w:w="80" w:type="dxa"/>
              <w:start w:w="120" w:type="dxa"/>
              <w:end w:w="120" w:type="dxa"/>
            </w:tcMar>
            <w:vAlign w:val="center"/>
          </w:tcPr>
          <w:p>
            <w:pPr>
              <w:pStyle w:val="TableText"/>
              <w:keepNext w:val="0"/>
            </w:pPr>
            <w:r>
              <w:t>No</w:t>
            </w:r>
          </w:p>
        </w:tc>
        <w:tc>
          <w:tcPr>
            <w:tcW w:type="dxa" w:w="2790"/>
            <w:tcMar>
              <w:top w:w="80" w:type="dxa"/>
              <w:bottom w:w="80" w:type="dxa"/>
              <w:start w:w="120" w:type="dxa"/>
              <w:end w:w="120" w:type="dxa"/>
            </w:tcMar>
            <w:vAlign w:val="center"/>
          </w:tcPr>
          <w:p>
            <w:pPr>
              <w:pStyle w:val="TableText"/>
              <w:keepNext w:val="0"/>
            </w:pPr>
            <w:r>
              <w:t>Yes</w:t>
            </w:r>
          </w:p>
        </w:tc>
      </w:tr>
    </w:tbl>
    <w:p>
      <w:pPr>
        <w:pStyle w:val="Quiet"/>
      </w:pPr>
    </w:p>
    <w:p>
      <w:pPr>
        <w:pStyle w:val="Note"/>
      </w:pPr>
      <w:r>
        <w:t>There is no borrowing deadline, overdue status or automatic return. The current return action covers the full quantity on one record. Partial returns, reservations and damaged-item tracking are outside this version.</w:t>
      </w:r>
    </w:p>
    <w:p>
      <w:pPr>
        <w:pStyle w:val="Heading1"/>
        <w:pageBreakBefore/>
      </w:pPr>
      <w:r>
        <w:t>Install and sign in on XAMPP</w:t>
      </w:r>
    </w:p>
    <w:p>
      <w:r>
        <w:t>Use a local XAMPP installation with Apache, PHP 8 and MariaDB. PHP needs PDO MySQL and mbstring. Bootstrap 4.6 and SB Admin 2 assets are included locally; no Node build is required.</w:t>
      </w:r>
    </w:p>
    <w:p>
      <w:pPr>
        <w:pStyle w:val="NumberedStep"/>
        <w:numPr>
          <w:ilvl w:val="0"/>
          <w:numId w:val="11"/>
        </w:numPr>
      </w:pPr>
      <w:r>
        <w:t>Place the project directly in C:/xampp2/htdocs/aviton/. Do not add a second nested aviton folder.</w:t>
      </w:r>
    </w:p>
    <w:p>
      <w:pPr>
        <w:pStyle w:val="NumberedStep"/>
        <w:numPr>
          <w:ilvl w:val="0"/>
          <w:numId w:val="11"/>
        </w:numPr>
      </w:pPr>
      <w:r>
        <w:t>Start Apache and MySQL in XAMPP. The expected database port is 3306.</w:t>
      </w:r>
    </w:p>
    <w:p>
      <w:pPr>
        <w:pStyle w:val="NumberedStep"/>
        <w:numPr>
          <w:ilvl w:val="0"/>
          <w:numId w:val="11"/>
        </w:numPr>
      </w:pPr>
      <w:r>
        <w:t>Check config/config.php: host localhost, database inventorydb, username root and an empty password. The two setup PHP files contain matching settings.</w:t>
      </w:r>
    </w:p>
    <w:p>
      <w:pPr>
        <w:pStyle w:val="NumberedStep"/>
        <w:numPr>
          <w:ilvl w:val="0"/>
          <w:numId w:val="11"/>
        </w:numPr>
      </w:pPr>
      <w:r>
        <w:t>Open http://localhost/aviton/database/createdb.php on the same computer. This loads database/schema.sql and installs the tables and procedures.</w:t>
      </w:r>
    </w:p>
    <w:p>
      <w:pPr>
        <w:pStyle w:val="NumberedStep"/>
        <w:numPr>
          <w:ilvl w:val="0"/>
          <w:numId w:val="11"/>
        </w:numPr>
      </w:pPr>
      <w:r>
        <w:t>Open http://localhost/aviton/database/populatedb.php to add missing sample accounts and equipment.</w:t>
      </w:r>
    </w:p>
    <w:p>
      <w:pPr>
        <w:pStyle w:val="NumberedStep"/>
        <w:numPr>
          <w:ilvl w:val="0"/>
          <w:numId w:val="11"/>
        </w:numPr>
      </w:pPr>
      <w:r>
        <w:t>Open http://localhost/aviton/ and sign in. Use the correct role for the activity being demonstrated.</w:t>
      </w:r>
    </w:p>
    <w:tbl>
      <w:tblPr>
        <w:tblW w:type="dxa" w:w="9360"/>
        <w:jc w:val="left"/>
        <w:tblLayout w:type="fixed"/>
        <w:tblLook w:firstColumn="1" w:firstRow="1" w:lastColumn="0" w:lastRow="0" w:noHBand="0" w:noVBand="1" w:val="04A0"/>
        <w:tblInd w:type="dxa" w:w="120"/>
        <w:tblBorders>
          <w:top w:val="single" w:sz="4" w:color="D7DFE7"/>
          <w:left w:val="single" w:sz="4" w:color="D7DFE7"/>
          <w:bottom w:val="single" w:sz="4" w:color="D7DFE7"/>
          <w:right w:val="single" w:sz="4" w:color="D7DFE7"/>
          <w:insideH w:val="single" w:sz="4" w:color="D7DFE7"/>
          <w:insideV w:val="single" w:sz="4" w:color="D7DFE7"/>
        </w:tblBorders>
      </w:tblPr>
      <w:tblGrid>
        <w:gridCol w:w="3120"/>
        <w:gridCol w:w="3120"/>
        <w:gridCol w:w="3120"/>
      </w:tblGrid>
      <w:tr>
        <w:trPr>
          <w:cantSplit/>
          <w:tblHeader/>
        </w:trPr>
        <w:tc>
          <w:tcPr>
            <w:tcW w:type="dxa" w:w="3120"/>
            <w:tcMar>
              <w:top w:w="80" w:type="dxa"/>
              <w:bottom w:w="80" w:type="dxa"/>
              <w:start w:w="120" w:type="dxa"/>
              <w:end w:w="120" w:type="dxa"/>
            </w:tcMar>
            <w:vAlign w:val="center"/>
            <w:shd w:fill="F2F4F7" w:val="clear"/>
          </w:tcPr>
          <w:p>
            <w:pPr>
              <w:pStyle w:val="TableHeader"/>
              <w:keepNext w:val="0"/>
            </w:pPr>
            <w:r>
              <w:t>Username</w:t>
            </w:r>
          </w:p>
        </w:tc>
        <w:tc>
          <w:tcPr>
            <w:tcW w:type="dxa" w:w="3120"/>
            <w:tcMar>
              <w:top w:w="80" w:type="dxa"/>
              <w:bottom w:w="80" w:type="dxa"/>
              <w:start w:w="120" w:type="dxa"/>
              <w:end w:w="120" w:type="dxa"/>
            </w:tcMar>
            <w:vAlign w:val="center"/>
            <w:shd w:fill="F2F4F7" w:val="clear"/>
          </w:tcPr>
          <w:p>
            <w:pPr>
              <w:pStyle w:val="TableHeader"/>
              <w:keepNext w:val="0"/>
            </w:pPr>
            <w:r>
              <w:t>Password</w:t>
            </w:r>
          </w:p>
        </w:tc>
        <w:tc>
          <w:tcPr>
            <w:tcW w:type="dxa" w:w="3120"/>
            <w:tcMar>
              <w:top w:w="80" w:type="dxa"/>
              <w:bottom w:w="80" w:type="dxa"/>
              <w:start w:w="120" w:type="dxa"/>
              <w:end w:w="120" w:type="dxa"/>
            </w:tcMar>
            <w:vAlign w:val="center"/>
            <w:shd w:fill="F2F4F7" w:val="clear"/>
          </w:tcPr>
          <w:p>
            <w:pPr>
              <w:pStyle w:val="TableHeader"/>
              <w:keepNext w:val="0"/>
            </w:pPr>
            <w:r>
              <w:t>Role</w:t>
            </w:r>
          </w:p>
        </w:tc>
      </w:tr>
      <w:tr>
        <w:trPr>
          <w:cantSplit/>
        </w:trPr>
        <w:tc>
          <w:tcPr>
            <w:tcW w:type="dxa" w:w="3120"/>
            <w:tcMar>
              <w:top w:w="80" w:type="dxa"/>
              <w:bottom w:w="80" w:type="dxa"/>
              <w:start w:w="120" w:type="dxa"/>
              <w:end w:w="120" w:type="dxa"/>
            </w:tcMar>
            <w:vAlign w:val="center"/>
          </w:tcPr>
          <w:p>
            <w:pPr>
              <w:pStyle w:val="TableText"/>
              <w:keepNext w:val="0"/>
            </w:pPr>
            <w:r>
              <w:t>Admin</w:t>
            </w:r>
          </w:p>
        </w:tc>
        <w:tc>
          <w:tcPr>
            <w:tcW w:type="dxa" w:w="3120"/>
            <w:tcMar>
              <w:top w:w="80" w:type="dxa"/>
              <w:bottom w:w="80" w:type="dxa"/>
              <w:start w:w="120" w:type="dxa"/>
              <w:end w:w="120" w:type="dxa"/>
            </w:tcMar>
            <w:vAlign w:val="center"/>
          </w:tcPr>
          <w:p>
            <w:pPr>
              <w:pStyle w:val="TableText"/>
              <w:keepNext w:val="0"/>
            </w:pPr>
            <w:r>
              <w:t>Admin</w:t>
            </w:r>
          </w:p>
        </w:tc>
        <w:tc>
          <w:tcPr>
            <w:tcW w:type="dxa" w:w="3120"/>
            <w:tcMar>
              <w:top w:w="80" w:type="dxa"/>
              <w:bottom w:w="80" w:type="dxa"/>
              <w:start w:w="120" w:type="dxa"/>
              <w:end w:w="120" w:type="dxa"/>
            </w:tcMar>
            <w:vAlign w:val="center"/>
          </w:tcPr>
          <w:p>
            <w:pPr>
              <w:pStyle w:val="TableText"/>
              <w:keepNext w:val="0"/>
            </w:pPr>
            <w:r>
              <w:t>ADMIN</w:t>
            </w:r>
          </w:p>
        </w:tc>
      </w:tr>
      <w:tr>
        <w:trPr>
          <w:cantSplit/>
        </w:trPr>
        <w:tc>
          <w:tcPr>
            <w:tcW w:type="dxa" w:w="3120"/>
            <w:tcMar>
              <w:top w:w="80" w:type="dxa"/>
              <w:bottom w:w="80" w:type="dxa"/>
              <w:start w:w="120" w:type="dxa"/>
              <w:end w:w="120" w:type="dxa"/>
            </w:tcMar>
            <w:vAlign w:val="center"/>
          </w:tcPr>
          <w:p>
            <w:pPr>
              <w:pStyle w:val="TableText"/>
              <w:keepNext w:val="0"/>
            </w:pPr>
            <w:r>
              <w:t>User</w:t>
            </w:r>
          </w:p>
        </w:tc>
        <w:tc>
          <w:tcPr>
            <w:tcW w:type="dxa" w:w="3120"/>
            <w:tcMar>
              <w:top w:w="80" w:type="dxa"/>
              <w:bottom w:w="80" w:type="dxa"/>
              <w:start w:w="120" w:type="dxa"/>
              <w:end w:w="120" w:type="dxa"/>
            </w:tcMar>
            <w:vAlign w:val="center"/>
          </w:tcPr>
          <w:p>
            <w:pPr>
              <w:pStyle w:val="TableText"/>
              <w:keepNext w:val="0"/>
            </w:pPr>
            <w:r>
              <w:t>User</w:t>
            </w:r>
          </w:p>
        </w:tc>
        <w:tc>
          <w:tcPr>
            <w:tcW w:type="dxa" w:w="3120"/>
            <w:tcMar>
              <w:top w:w="80" w:type="dxa"/>
              <w:bottom w:w="80" w:type="dxa"/>
              <w:start w:w="120" w:type="dxa"/>
              <w:end w:w="120" w:type="dxa"/>
            </w:tcMar>
            <w:vAlign w:val="center"/>
          </w:tcPr>
          <w:p>
            <w:pPr>
              <w:pStyle w:val="TableText"/>
              <w:keepNext w:val="0"/>
            </w:pPr>
            <w:r>
              <w:t>USER</w:t>
            </w:r>
          </w:p>
        </w:tc>
      </w:tr>
    </w:tbl>
    <w:p>
      <w:pPr>
        <w:pStyle w:val="Quiet"/>
      </w:pPr>
    </w:p>
    <w:p>
      <w:pPr>
        <w:pStyle w:val="Note"/>
      </w:pPr>
      <w:r>
        <w:t>These are local demonstration credentials. They work only if the sample accounts were populated and their passwords were not changed. The database stores password hashes, not the readable passwords above.</w:t>
      </w:r>
    </w:p>
    <w:p>
      <w:pPr>
        <w:pStyle w:val="Heading2"/>
      </w:pPr>
      <w:r>
        <w:t>What setup changes</w:t>
      </w:r>
    </w:p>
    <w:p>
      <w:r>
        <w:t>createdb.php keeps existing compatible tables and rows while reinstalling procedure definitions. populatedb.php adds missing samples without resetting existing passwords, roles or stock. Back up an existing database before setup. An older incompatible schema needs a separate migration; do not drop tables to fix a connection error.</w:t>
      </w:r>
    </w:p>
    <w:p>
      <w:pPr>
        <w:pStyle w:val="Heading2"/>
      </w:pPr>
      <w:r>
        <w:t>If the database cannot be reached</w:t>
      </w:r>
    </w:p>
    <w:p>
      <w:r>
        <w:t>“Error: Code 0001” means the PDO connection failed. Check that MySQL is running, the port and credentials match, and inventorydb has been created. Setup must be opened locally and PHP must be able to write to its configured session/temp directory.</w:t>
      </w:r>
    </w:p>
    <w:p>
      <w:pPr>
        <w:pStyle w:val="Heading1"/>
        <w:pageBreakBefore/>
      </w:pPr>
      <w:r>
        <w:t>Using the website</w:t>
      </w:r>
    </w:p>
    <w:p>
      <w:pPr>
        <w:pStyle w:val="Heading2"/>
      </w:pPr>
      <w:r>
        <w:t>Borrower workflow</w:t>
      </w:r>
    </w:p>
    <w:p>
      <w:pPr>
        <w:pStyle w:val="NumberedStep"/>
        <w:numPr>
          <w:ilvl w:val="0"/>
          <w:numId w:val="12"/>
        </w:numPr>
      </w:pPr>
      <w:r>
        <w:t>Register a USER account, or sign in with the sample User account. Check the messages beside any invalid registration field.</w:t>
      </w:r>
    </w:p>
    <w:p>
      <w:pPr>
        <w:pStyle w:val="NumberedStep"/>
        <w:numPr>
          <w:ilvl w:val="0"/>
          <w:numId w:val="12"/>
        </w:numPr>
      </w:pPr>
      <w:r>
        <w:t>On the dashboard, search for equipment and enter a positive whole-number quantity. Submit the request and any relevant note.</w:t>
      </w:r>
    </w:p>
    <w:p>
      <w:pPr>
        <w:pStyle w:val="NumberedStep"/>
        <w:numPr>
          <w:ilvl w:val="0"/>
          <w:numId w:val="12"/>
        </w:numPr>
      </w:pPr>
      <w:r>
        <w:t>The record starts as PENDING. It does not reserve or remove stock. The user can cancel it before release.</w:t>
      </w:r>
    </w:p>
    <w:p>
      <w:pPr>
        <w:pStyle w:val="NumberedStep"/>
        <w:numPr>
          <w:ilvl w:val="0"/>
          <w:numId w:val="12"/>
        </w:numPr>
      </w:pPr>
      <w:r>
        <w:t>Collect the equipment from staff. ADMIN confirms physical release, changing the record to BORROWED and recording the release time.</w:t>
      </w:r>
    </w:p>
    <w:p>
      <w:pPr>
        <w:pStyle w:val="NumberedStep"/>
        <w:numPr>
          <w:ilvl w:val="0"/>
          <w:numId w:val="12"/>
        </w:numPr>
      </w:pPr>
      <w:r>
        <w:t>When handing the equipment back, request its return. The record becomes RETURN_PENDING; those units are still counted as on loan.</w:t>
      </w:r>
    </w:p>
    <w:p>
      <w:pPr>
        <w:pStyle w:val="NumberedStep"/>
        <w:numPr>
          <w:ilvl w:val="0"/>
          <w:numId w:val="12"/>
        </w:numPr>
      </w:pPr>
      <w:r>
        <w:t>ADMIN confirms physical receipt. The record becomes RETURNED, the return time is recorded and the quantity becomes available again.</w:t>
      </w:r>
    </w:p>
    <w:p>
      <w:pPr>
        <w:pStyle w:val="Heading2"/>
      </w:pPr>
      <w:r>
        <w:t>Administrator workflow</w:t>
      </w:r>
    </w:p>
    <w:p>
      <w:pPr>
        <w:pStyle w:val="NumberedStep"/>
        <w:numPr>
          <w:ilvl w:val="0"/>
          <w:numId w:val="10"/>
        </w:numPr>
      </w:pPr>
      <w:r>
        <w:t>Add an equipment entry with a unique code, name, category and whole-number total. Location and description are optional.</w:t>
      </w:r>
    </w:p>
    <w:p>
      <w:pPr>
        <w:pStyle w:val="NumberedStep"/>
        <w:numPr>
          <w:ilvl w:val="0"/>
          <w:numId w:val="10"/>
        </w:numPr>
      </w:pPr>
      <w:r>
        <w:t>Edit an item after checking the latest values. Total quantity cannot be lower than the units currently on loan; stale forms must be reloaded.</w:t>
      </w:r>
    </w:p>
    <w:p>
      <w:pPr>
        <w:pStyle w:val="NumberedStep"/>
        <w:numPr>
          <w:ilvl w:val="0"/>
          <w:numId w:val="10"/>
        </w:numPr>
      </w:pPr>
      <w:r>
        <w:t>Review pending requests and confirm release only after handing over the units. Availability is checked again at that point.</w:t>
      </w:r>
    </w:p>
    <w:p>
      <w:pPr>
        <w:pStyle w:val="NumberedStep"/>
        <w:numPr>
          <w:ilvl w:val="0"/>
          <w:numId w:val="10"/>
        </w:numPr>
      </w:pPr>
      <w:r>
        <w:t>Confirm a return only after receiving the units. If receipt is rejected, enter a reason; the record goes back to BORROWED.</w:t>
      </w:r>
    </w:p>
    <w:p>
      <w:pPr>
        <w:pStyle w:val="NumberedStep"/>
        <w:numPr>
          <w:ilvl w:val="0"/>
          <w:numId w:val="10"/>
        </w:numPr>
      </w:pPr>
      <w:r>
        <w:t>Delete an unused equipment entry only after confirming the deletion. Any linked borrowing record blocks deletion, even if already closed.</w:t>
      </w:r>
    </w:p>
    <w:p>
      <w:pPr>
        <w:pStyle w:val="Note"/>
      </w:pPr>
      <w:r>
        <w:t>Use logout when finished, especially on a shared computer. An administrator who needs equipment must sign in with a separate USER account.</w:t>
      </w:r>
    </w:p>
    <w:p>
      <w:pPr>
        <w:pStyle w:val="Heading1"/>
        <w:pageBreakBefore/>
      </w:pPr>
      <w:r>
        <w:t>Validation, security and project files</w:t>
      </w:r>
    </w:p>
    <w:p>
      <w:pPr>
        <w:pStyle w:val="Heading2"/>
      </w:pPr>
      <w:r>
        <w:t>Input rules</w:t>
      </w:r>
    </w:p>
    <w:p>
      <w:r>
        <w:t>Usernames need 3–40 characters: letters, numbers, dots, underscores or hyphens, starting with a letter or number. Names start with a letter and allow spaces and common name punctuation. Email format is checked. Optional mobile numbers need 7–15 digits, with an optional leading +.</w:t>
      </w:r>
    </w:p>
    <w:p>
      <w:r>
        <w:t>New passwords and password changes require at least 12 characters and at most 72 bytes. Passwords are not trimmed. Equipment codes use 2–30 letters, numbers, hyphens or underscores. Stock totals are whole numbers from 0 to 1,000,000; borrowing quantities start at 1 and must pass stock checks.</w:t>
      </w:r>
    </w:p>
    <w:p>
      <w:pPr>
        <w:pStyle w:val="Heading2"/>
      </w:pPr>
      <w:r>
        <w:t>Why the checks are repeated</w:t>
      </w:r>
    </w:p>
    <w:p>
      <w:r>
        <w:t>AJAX gives quick field messages. validation.php checks the complete form and save.php repeats the server rules, so skipping JavaScript cannot save invalid input. Text is normalized where appropriate, validated and escaped when displayed.</w:t>
      </w:r>
    </w:p>
    <w:p>
      <w:r>
        <w:t>Passwords use password_hash/password_verify. Sessions, CSRF tokens, role and record-ownership checks protect actions. Prepared procedure calls bind input values; PHP output is escaped and dynamic browser text uses textContent. POST keeps fields out of the URL, but HTTPS is needed to encrypt traffic.</w:t>
      </w:r>
    </w:p>
    <w:p>
      <w:pPr>
        <w:pStyle w:val="Heading2"/>
      </w:pPr>
      <w:r>
        <w:t>Where to find the implementation</w:t>
      </w:r>
    </w:p>
    <w:tbl>
      <w:tblPr>
        <w:tblW w:type="dxa" w:w="9360"/>
        <w:jc w:val="left"/>
        <w:tblLayout w:type="fixed"/>
        <w:tblLook w:firstColumn="1" w:firstRow="1" w:lastColumn="0" w:lastRow="0" w:noHBand="0" w:noVBand="1" w:val="04A0"/>
        <w:tblInd w:type="dxa" w:w="120"/>
        <w:tblBorders>
          <w:top w:val="single" w:sz="4" w:color="D7DFE7"/>
          <w:left w:val="single" w:sz="4" w:color="D7DFE7"/>
          <w:bottom w:val="single" w:sz="4" w:color="D7DFE7"/>
          <w:right w:val="single" w:sz="4" w:color="D7DFE7"/>
          <w:insideH w:val="single" w:sz="4" w:color="D7DFE7"/>
          <w:insideV w:val="single" w:sz="4" w:color="D7DFE7"/>
        </w:tblBorders>
      </w:tblPr>
      <w:tblGrid>
        <w:gridCol w:w="3420"/>
        <w:gridCol w:w="5940"/>
      </w:tblGrid>
      <w:tr>
        <w:trPr>
          <w:cantSplit/>
          <w:tblHeader/>
        </w:trPr>
        <w:tc>
          <w:tcPr>
            <w:tcW w:type="dxa" w:w="3420"/>
            <w:tcMar>
              <w:top w:w="80" w:type="dxa"/>
              <w:bottom w:w="80" w:type="dxa"/>
              <w:start w:w="120" w:type="dxa"/>
              <w:end w:w="120" w:type="dxa"/>
            </w:tcMar>
            <w:vAlign w:val="center"/>
            <w:shd w:fill="F2F4F7" w:val="clear"/>
          </w:tcPr>
          <w:p>
            <w:pPr>
              <w:pStyle w:val="TableHeader"/>
              <w:keepNext w:val="0"/>
            </w:pPr>
            <w:r>
              <w:t>Location</w:t>
            </w:r>
          </w:p>
        </w:tc>
        <w:tc>
          <w:tcPr>
            <w:tcW w:type="dxa" w:w="5940"/>
            <w:tcMar>
              <w:top w:w="80" w:type="dxa"/>
              <w:bottom w:w="80" w:type="dxa"/>
              <w:start w:w="120" w:type="dxa"/>
              <w:end w:w="120" w:type="dxa"/>
            </w:tcMar>
            <w:vAlign w:val="center"/>
            <w:shd w:fill="F2F4F7" w:val="clear"/>
          </w:tcPr>
          <w:p>
            <w:pPr>
              <w:pStyle w:val="TableHeader"/>
              <w:keepNext w:val="0"/>
            </w:pPr>
            <w:r>
              <w:t>Responsibility</w:t>
            </w:r>
          </w:p>
        </w:tc>
      </w:tr>
      <w:tr>
        <w:trPr>
          <w:cantSplit/>
        </w:trPr>
        <w:tc>
          <w:tcPr>
            <w:tcW w:type="dxa" w:w="3420"/>
            <w:tcMar>
              <w:top w:w="80" w:type="dxa"/>
              <w:bottom w:w="80" w:type="dxa"/>
              <w:start w:w="120" w:type="dxa"/>
              <w:end w:w="120" w:type="dxa"/>
            </w:tcMar>
            <w:vAlign w:val="center"/>
          </w:tcPr>
          <w:p>
            <w:pPr>
              <w:pStyle w:val="TableText"/>
              <w:keepNext w:val="0"/>
            </w:pPr>
            <w:r>
              <w:t>Root PHP pages</w:t>
            </w:r>
          </w:p>
        </w:tc>
        <w:tc>
          <w:tcPr>
            <w:tcW w:type="dxa" w:w="5940"/>
            <w:tcMar>
              <w:top w:w="80" w:type="dxa"/>
              <w:bottom w:w="80" w:type="dxa"/>
              <w:start w:w="120" w:type="dxa"/>
              <w:end w:w="120" w:type="dxa"/>
            </w:tcMar>
            <w:vAlign w:val="center"/>
          </w:tcPr>
          <w:p>
            <w:pPr>
              <w:pStyle w:val="TableText"/>
              <w:keepNext w:val="0"/>
            </w:pPr>
            <w:r>
              <w:t>Login, registration, dashboards and request endpoints</w:t>
            </w:r>
          </w:p>
        </w:tc>
      </w:tr>
      <w:tr>
        <w:trPr>
          <w:cantSplit/>
        </w:trPr>
        <w:tc>
          <w:tcPr>
            <w:tcW w:type="dxa" w:w="3420"/>
            <w:tcMar>
              <w:top w:w="80" w:type="dxa"/>
              <w:bottom w:w="80" w:type="dxa"/>
              <w:start w:w="120" w:type="dxa"/>
              <w:end w:w="120" w:type="dxa"/>
            </w:tcMar>
            <w:vAlign w:val="center"/>
          </w:tcPr>
          <w:p>
            <w:pPr>
              <w:pStyle w:val="TableText"/>
              <w:keepNext w:val="0"/>
            </w:pPr>
            <w:r>
              <w:t>assets/css, assets/js, assets/vendor</w:t>
            </w:r>
          </w:p>
        </w:tc>
        <w:tc>
          <w:tcPr>
            <w:tcW w:type="dxa" w:w="5940"/>
            <w:tcMar>
              <w:top w:w="80" w:type="dxa"/>
              <w:bottom w:w="80" w:type="dxa"/>
              <w:start w:w="120" w:type="dxa"/>
              <w:end w:w="120" w:type="dxa"/>
            </w:tcMar>
            <w:vAlign w:val="center"/>
          </w:tcPr>
          <w:p>
            <w:pPr>
              <w:pStyle w:val="TableText"/>
              <w:keepNext w:val="0"/>
            </w:pPr>
            <w:r>
              <w:t>Project styling/scripts and Bootstrap/SB Admin 2 assets</w:t>
            </w:r>
          </w:p>
        </w:tc>
      </w:tr>
      <w:tr>
        <w:trPr>
          <w:cantSplit/>
        </w:trPr>
        <w:tc>
          <w:tcPr>
            <w:tcW w:type="dxa" w:w="3420"/>
            <w:tcMar>
              <w:top w:w="80" w:type="dxa"/>
              <w:bottom w:w="80" w:type="dxa"/>
              <w:start w:w="120" w:type="dxa"/>
              <w:end w:w="120" w:type="dxa"/>
            </w:tcMar>
            <w:vAlign w:val="center"/>
          </w:tcPr>
          <w:p>
            <w:pPr>
              <w:pStyle w:val="TableText"/>
              <w:keepNext w:val="0"/>
            </w:pPr>
            <w:r>
              <w:t>config/config.php</w:t>
            </w:r>
          </w:p>
        </w:tc>
        <w:tc>
          <w:tcPr>
            <w:tcW w:type="dxa" w:w="5940"/>
            <w:tcMar>
              <w:top w:w="80" w:type="dxa"/>
              <w:bottom w:w="80" w:type="dxa"/>
              <w:start w:w="120" w:type="dxa"/>
              <w:end w:w="120" w:type="dxa"/>
            </w:tcMar>
            <w:vAlign w:val="center"/>
          </w:tcPr>
          <w:p>
            <w:pPr>
              <w:pStyle w:val="TableText"/>
              <w:keepNext w:val="0"/>
            </w:pPr>
            <w:r>
              <w:t>PDO connection and named stored-procedure methods</w:t>
            </w:r>
          </w:p>
        </w:tc>
      </w:tr>
      <w:tr>
        <w:trPr>
          <w:cantSplit/>
        </w:trPr>
        <w:tc>
          <w:tcPr>
            <w:tcW w:type="dxa" w:w="3420"/>
            <w:tcMar>
              <w:top w:w="80" w:type="dxa"/>
              <w:bottom w:w="80" w:type="dxa"/>
              <w:start w:w="120" w:type="dxa"/>
              <w:end w:w="120" w:type="dxa"/>
            </w:tcMar>
            <w:vAlign w:val="center"/>
          </w:tcPr>
          <w:p>
            <w:pPr>
              <w:pStyle w:val="TableText"/>
              <w:keepNext w:val="0"/>
            </w:pPr>
            <w:r>
              <w:t>includes/</w:t>
            </w:r>
          </w:p>
        </w:tc>
        <w:tc>
          <w:tcPr>
            <w:tcW w:type="dxa" w:w="5940"/>
            <w:tcMar>
              <w:top w:w="80" w:type="dxa"/>
              <w:bottom w:w="80" w:type="dxa"/>
              <w:start w:w="120" w:type="dxa"/>
              <w:end w:w="120" w:type="dxa"/>
            </w:tcMar>
            <w:vAlign w:val="center"/>
          </w:tcPr>
          <w:p>
            <w:pPr>
              <w:pStyle w:val="TableText"/>
              <w:keepNext w:val="0"/>
            </w:pPr>
            <w:r>
              <w:t>Shared UI sections, session services and validation</w:t>
            </w:r>
          </w:p>
        </w:tc>
      </w:tr>
      <w:tr>
        <w:trPr>
          <w:cantSplit/>
        </w:trPr>
        <w:tc>
          <w:tcPr>
            <w:tcW w:type="dxa" w:w="3420"/>
            <w:tcMar>
              <w:top w:w="80" w:type="dxa"/>
              <w:bottom w:w="80" w:type="dxa"/>
              <w:start w:w="120" w:type="dxa"/>
              <w:end w:w="120" w:type="dxa"/>
            </w:tcMar>
            <w:vAlign w:val="center"/>
          </w:tcPr>
          <w:p>
            <w:pPr>
              <w:pStyle w:val="TableText"/>
              <w:keepNext w:val="0"/>
            </w:pPr>
            <w:r>
              <w:t>database/</w:t>
            </w:r>
          </w:p>
        </w:tc>
        <w:tc>
          <w:tcPr>
            <w:tcW w:type="dxa" w:w="5940"/>
            <w:tcMar>
              <w:top w:w="80" w:type="dxa"/>
              <w:bottom w:w="80" w:type="dxa"/>
              <w:start w:w="120" w:type="dxa"/>
              <w:end w:w="120" w:type="dxa"/>
            </w:tcMar>
            <w:vAlign w:val="center"/>
          </w:tcPr>
          <w:p>
            <w:pPr>
              <w:pStyle w:val="TableText"/>
              <w:keepNext w:val="0"/>
            </w:pPr>
            <w:r>
              <w:t>schema.sql, createdb.php and populatedb.php</w:t>
            </w:r>
          </w:p>
        </w:tc>
      </w:tr>
    </w:tbl>
    <w:p>
      <w:pPr>
        <w:pStyle w:val="Quiet"/>
      </w:pPr>
    </w:p>
    <w:p>
      <w:pPr>
        <w:pStyle w:val="Note"/>
      </w:pPr>
      <w:r>
        <w:t>Local-demo limits: root has no database password; sample passwords are public; HTTP is unencrypted. Before public deployment, use a restricted database account, replace sample passwords, enable HTTPS and disable setup pages. The simple connection-error response does not provide normal AJAX XML or a 503 status.</w:t>
      </w:r>
    </w:p>
    <w:p>
      <w:pPr>
        <w:pStyle w:val="Heading2"/>
      </w:pPr>
      <w:r>
        <w:t>Sources and scope</w:t>
      </w:r>
    </w:p>
    <w:p>
      <w:pPr>
        <w:pStyle w:val="Quiet"/>
      </w:pPr>
      <w:r>
        <w:t>WEB-APPLICATION-DEVELOPMENT-PROJECT.pdf, pp. 6–8 and 15: minimum features and submission requirements.</w:t>
      </w:r>
    </w:p>
    <w:p>
      <w:pPr>
        <w:pStyle w:val="Quiet"/>
      </w:pPr>
      <w:r>
        <w:t>AVITON.pdf, pp. 1–2: proposal scope and team assignments. README.md and current PHP/SQL source: implementation details.</w:t>
      </w:r>
    </w:p>
    <w:p>
      <w:pPr>
        <w:pStyle w:val="Quiet"/>
      </w:pPr>
      <w:r>
        <w:t>REQUIREMENTS-AUDIT.md, 31 August 2026: recorded verification and limitations. This guide does not claim new live-system tests.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
      <w:jc w:val="right"/>
    </w:pPr>
    <w:r>
      <w:t xml:space="preserve">System documentation  |  </w:t>
    </w: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
    </w:pPr>
    <w:r>
      <w:t>AVITON  /  SCRAPBOOKLM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ind w:left="720" w:hanging="360"/>
        <w:spacing w:before="0" w:after="160" w:line="280" w:lineRule="auto"/>
      </w:pPr>
      <w:rPr>
        <w:rFonts w:ascii="Calibri" w:hAnsi="Calibri"/>
      </w:rPr>
    </w:lvl>
  </w:abstractNum>
  <w:num w:numId="10">
    <w:abstractNumId w:val="9"/>
  </w:num>
  <w:abstractNum w:abstractNumId="10">
    <w:multiLevelType w:val="singleLevel"/>
    <w:lvl w:ilvl="0">
      <w:start w:val="1"/>
      <w:numFmt w:val="decimal"/>
      <w:lvlText w:val="%1."/>
      <w:lvlJc w:val="left"/>
      <w:pPr>
        <w:ind w:left="720" w:hanging="360"/>
        <w:spacing w:before="0" w:after="160" w:line="280" w:lineRule="auto"/>
      </w:pPr>
      <w:rPr>
        <w:rFonts w:ascii="Calibri" w:hAnsi="Calibri"/>
      </w:rPr>
    </w:lvl>
  </w:abstractNum>
  <w:num w:numId="11">
    <w:abstractNumId w:val="10"/>
  </w:num>
  <w:abstractNum w:abstractNumId="11">
    <w:multiLevelType w:val="singleLevel"/>
    <w:lvl w:ilvl="0">
      <w:start w:val="1"/>
      <w:numFmt w:val="decimal"/>
      <w:lvlText w:val="%1."/>
      <w:lvlJc w:val="left"/>
      <w:pPr>
        <w:ind w:left="720" w:hanging="360"/>
        <w:spacing w:before="0" w:after="160" w:line="280" w:lineRule="auto"/>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cs="Calibri"/>
      <w:b w:val="0"/>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eastAsia="Calibri" w:cs="Calibri"/>
      <w:b/>
      <w:bCs/>
      <w:i w:val="0"/>
      <w:color w:val="2E74B5"/>
      <w:sz w:val="32"/>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eastAsia="Calibri" w:cs="Calibri"/>
      <w:b/>
      <w:bCs/>
      <w:i w:val="0"/>
      <w:color w:val="2E74B5"/>
      <w:sz w:val="26"/>
      <w:szCs w:val="26"/>
      <w:u w:val="none"/>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eastAsia="Calibri" w:cs="Calibri"/>
      <w:b/>
      <w:bCs/>
      <w:i w:val="0"/>
      <w:color w:val="1F4D78"/>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64" w:lineRule="auto" w:before="0"/>
      <w:contextualSpacing/>
    </w:pPr>
    <w:rPr>
      <w:rFonts w:asciiTheme="majorHAnsi" w:eastAsiaTheme="majorEastAsia" w:hAnsiTheme="majorHAnsi" w:cstheme="majorBidi" w:ascii="Calibri" w:hAnsi="Calibri" w:eastAsia="Calibri" w:cs="Calibri"/>
      <w:b/>
      <w:i w:val="0"/>
      <w:color w:val="18334D"/>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line="264" w:lineRule="auto"/>
    </w:pPr>
    <w:rPr>
      <w:rFonts w:asciiTheme="majorHAnsi" w:eastAsiaTheme="majorEastAsia" w:hAnsiTheme="majorHAnsi" w:cstheme="majorBidi" w:ascii="Calibri" w:hAnsi="Calibri" w:eastAsia="Calibri" w:cs="Calibri"/>
      <w:b w:val="0"/>
      <w:i w:val="0"/>
      <w:iCs/>
      <w:color w:val="596575"/>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libri" w:hAnsi="Calibri" w:eastAsia="Calibri" w:cs="Calibri"/>
      <w:b w:val="0"/>
      <w:bCs/>
      <w:i w:val="0"/>
      <w:color w:val="596575"/>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et">
    <w:name w:val="Quiet"/>
    <w:basedOn w:val="Normal"/>
    <w:pPr>
      <w:widowControl/>
      <w:spacing w:before="0" w:after="80" w:line="264" w:lineRule="auto"/>
    </w:pPr>
    <w:rPr>
      <w:rFonts w:ascii="Calibri" w:hAnsi="Calibri" w:eastAsia="Calibri" w:cs="Calibri"/>
      <w:b w:val="0"/>
      <w:i w:val="0"/>
      <w:color w:val="596575"/>
      <w:sz w:val="18"/>
      <w:u w:val="none"/>
    </w:rPr>
  </w:style>
  <w:style w:type="paragraph" w:customStyle="1" w:styleId="TableText">
    <w:name w:val="Table Text"/>
    <w:basedOn w:val="Normal"/>
    <w:pPr>
      <w:widowControl/>
      <w:spacing w:before="0" w:after="60" w:line="264" w:lineRule="auto"/>
    </w:pPr>
    <w:rPr>
      <w:rFonts w:ascii="Calibri" w:hAnsi="Calibri" w:eastAsia="Calibri" w:cs="Calibri"/>
      <w:b w:val="0"/>
      <w:i w:val="0"/>
      <w:color w:val="000000"/>
      <w:sz w:val="19"/>
      <w:u w:val="none"/>
    </w:rPr>
  </w:style>
  <w:style w:type="paragraph" w:customStyle="1" w:styleId="TableHeader">
    <w:name w:val="Table Header"/>
    <w:basedOn w:val="Normal"/>
    <w:pPr>
      <w:widowControl/>
      <w:spacing w:before="0" w:after="60" w:line="264" w:lineRule="auto"/>
    </w:pPr>
    <w:rPr>
      <w:rFonts w:ascii="Calibri" w:hAnsi="Calibri" w:eastAsia="Calibri" w:cs="Calibri"/>
      <w:b/>
      <w:i w:val="0"/>
      <w:color w:val="18334D"/>
      <w:sz w:val="19"/>
      <w:u w:val="none"/>
    </w:rPr>
  </w:style>
  <w:style w:type="paragraph" w:customStyle="1" w:styleId="Note">
    <w:name w:val="Note"/>
    <w:basedOn w:val="Normal"/>
    <w:pPr>
      <w:widowControl/>
      <w:spacing w:before="0" w:after="120" w:line="264" w:lineRule="auto"/>
    </w:pPr>
    <w:rPr>
      <w:rFonts w:ascii="Calibri" w:hAnsi="Calibri" w:eastAsia="Calibri" w:cs="Calibri"/>
      <w:b w:val="0"/>
      <w:i w:val="0"/>
      <w:color w:val="596575"/>
      <w:sz w:val="20"/>
      <w:u w:val="none"/>
    </w:rPr>
  </w:style>
  <w:style w:type="paragraph" w:customStyle="1" w:styleId="Code">
    <w:name w:val="Code"/>
    <w:basedOn w:val="Normal"/>
    <w:pPr>
      <w:widowControl/>
      <w:spacing w:before="0" w:after="40" w:line="264" w:lineRule="auto"/>
    </w:pPr>
    <w:rPr>
      <w:rFonts w:ascii="Consolas" w:hAnsi="Consolas" w:eastAsia="Consolas" w:cs="Consolas"/>
      <w:b w:val="0"/>
      <w:i w:val="0"/>
      <w:color w:val="18334D"/>
      <w:sz w:val="18"/>
      <w:u w:val="none"/>
    </w:rPr>
  </w:style>
  <w:style w:type="paragraph" w:customStyle="1" w:styleId="FormEntry">
    <w:name w:val="Form Entry"/>
    <w:basedOn w:val="Normal"/>
    <w:pPr>
      <w:widowControl/>
      <w:spacing w:before="0" w:after="200" w:line="264" w:lineRule="auto"/>
    </w:pPr>
    <w:rPr>
      <w:rFonts w:ascii="Calibri" w:hAnsi="Calibri" w:eastAsia="Calibri" w:cs="Calibri"/>
      <w:b w:val="0"/>
      <w:i w:val="0"/>
      <w:color w:val="000000"/>
      <w:sz w:val="22"/>
      <w:u w:val="none"/>
    </w:rPr>
  </w:style>
  <w:style w:type="paragraph" w:customStyle="1" w:styleId="NumberedStep">
    <w:name w:val="Numbered Step"/>
    <w:basedOn w:val="Normal"/>
    <w:pPr>
      <w:widowControl/>
      <w:spacing w:before="0" w:after="160" w:line="280" w:lineRule="auto"/>
      <w:ind w:left="720" w:hanging="360"/>
    </w:pPr>
    <w:rPr>
      <w:rFonts w:ascii="Calibri" w:hAnsi="Calibri" w:eastAsia="Calibri" w:cs="Calibri"/>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AviTON — System Documentation</dc:title>
  <dc:subject>Web Application Development supporting documentation</dc:subject>
  <dc:creator>ScrapbookLM</dc:creator>
  <cp:keywords>AviTON, PHP, MariaDB, Bootstrap, SB Admin 2, course project</cp:keywords>
  <dc:description>Prepared from supplied project files. Contribution evidence and rehearsal outcomes require team confirmation.</dc:description>
  <cp:lastModifiedBy/>
  <cp:revision>1</cp:revision>
  <dcterms:created xsi:type="dcterms:W3CDTF">2026-08-31T00:00:00Z</dcterms:created>
  <dcterms:modified xsi:type="dcterms:W3CDTF">2026-08-31T00:00:00Z</dcterms:modified>
  <cp:category/>
</cp:coreProperties>
</file>