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AviTON</w:t>
      </w:r>
    </w:p>
    <w:p>
      <w:pPr>
        <w:pStyle w:val="Subtitle"/>
      </w:pPr>
      <w:r>
        <w:t>System Architecture and Design Pattern</w:t>
      </w:r>
    </w:p>
    <w:p>
      <w:pPr>
        <w:pStyle w:val="Quiet"/>
      </w:pPr>
      <w:r>
        <w:t>How requests move through the PHP application</w:t>
      </w:r>
    </w:p>
    <w:p>
      <w:pPr>
        <w:pStyle w:val="Quiet"/>
      </w:pPr>
      <w:r>
        <w:t>Web Application Development  |  Prepared 31 August 2026  |  For team review</w:t>
      </w:r>
    </w:p>
    <w:p>
      <w:r>
        <w:t>AviTON uses a layered architecture: presentation, request handling, validation/access control and database access have separate responsibilities. Config acts as a data-access facade by exposing named methods that hide PDO statement handling and stored-procedure calls.</w:t>
      </w:r>
    </w:p>
    <w:p>
      <w:pPr>
        <w:keepNext/>
      </w:pPr>
      <w:r>
        <w:drawing>
          <wp:inline xmlns:a="http://schemas.openxmlformats.org/drawingml/2006/main" xmlns:pic="http://schemas.openxmlformats.org/drawingml/2006/picture">
            <wp:extent cx="5943600" cy="4239768"/>
            <wp:docPr id="1" name="Picture 1" descr="The browser sends requests to PHP endpoints, which use App and Validation helpers and the Config facade. Config calls MariaDB procedures that read and update user, equipment and records. Responses return to the browser. Local createdb and populatedb setup scripts connect separately to the database." title="Figure 1. Application layers and the separate local setup path."/>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4239768"/>
                    </a:xfrm>
                    <a:prstGeom prst="rect"/>
                  </pic:spPr>
                </pic:pic>
              </a:graphicData>
            </a:graphic>
          </wp:inline>
        </w:drawing>
      </w:r>
    </w:p>
    <w:p>
      <w:pPr>
        <w:pStyle w:val="Caption"/>
      </w:pPr>
      <w:r>
        <w:t>Figure 1. Application layers and the separate local setup path.</w:t>
      </w:r>
    </w:p>
    <w:p>
      <w:pPr>
        <w:pStyle w:val="Note"/>
      </w:pPr>
      <w:r>
        <w:t>This is a small PHP application with shared includes, not a strict MVC framework. Bootstrap and SB Admin 2 supply interface styling and components; they are not the backend architecture or design pattern. Some request orchestration is shared between endpoints and helper classes.</w:t>
      </w:r>
    </w:p>
    <w:p>
      <w:pPr>
        <w:pStyle w:val="Heading1"/>
        <w:pageBreakBefore/>
      </w:pPr>
      <w:r>
        <w:t>Responsibilities and OOP</w:t>
      </w:r>
    </w:p>
    <w:tbl>
      <w:tblPr>
        <w:tblW w:type="dxa" w:w="9360"/>
        <w:jc w:val="left"/>
        <w:tblLayout w:type="fixed"/>
        <w:tblLook w:firstColumn="1" w:firstRow="1" w:lastColumn="0" w:lastRow="0" w:noHBand="0" w:noVBand="1" w:val="04A0"/>
        <w:tblInd w:type="dxa" w:w="120"/>
        <w:tblBorders>
          <w:top w:val="single" w:sz="4" w:color="D7DFE7"/>
          <w:left w:val="single" w:sz="4" w:color="D7DFE7"/>
          <w:bottom w:val="single" w:sz="4" w:color="D7DFE7"/>
          <w:right w:val="single" w:sz="4" w:color="D7DFE7"/>
          <w:insideH w:val="single" w:sz="4" w:color="D7DFE7"/>
          <w:insideV w:val="single" w:sz="4" w:color="D7DFE7"/>
        </w:tblBorders>
      </w:tblPr>
      <w:tblGrid>
        <w:gridCol w:w="4040"/>
        <w:gridCol w:w="5320"/>
      </w:tblGrid>
      <w:tr>
        <w:trPr>
          <w:cantSplit/>
          <w:tblHeader/>
        </w:trPr>
        <w:tc>
          <w:tcPr>
            <w:tcW w:type="dxa" w:w="4040"/>
            <w:tcMar>
              <w:top w:w="80" w:type="dxa"/>
              <w:bottom w:w="80" w:type="dxa"/>
              <w:start w:w="120" w:type="dxa"/>
              <w:end w:w="120" w:type="dxa"/>
            </w:tcMar>
            <w:vAlign w:val="center"/>
            <w:shd w:fill="F2F4F7" w:val="clear"/>
          </w:tcPr>
          <w:p>
            <w:pPr>
              <w:pStyle w:val="TableHeader"/>
              <w:keepNext w:val="0"/>
            </w:pPr>
            <w:r>
              <w:t>Part</w:t>
            </w:r>
          </w:p>
        </w:tc>
        <w:tc>
          <w:tcPr>
            <w:tcW w:type="dxa" w:w="5320"/>
            <w:tcMar>
              <w:top w:w="80" w:type="dxa"/>
              <w:bottom w:w="80" w:type="dxa"/>
              <w:start w:w="120" w:type="dxa"/>
              <w:end w:w="120" w:type="dxa"/>
            </w:tcMar>
            <w:vAlign w:val="center"/>
            <w:shd w:fill="F2F4F7" w:val="clear"/>
          </w:tcPr>
          <w:p>
            <w:pPr>
              <w:pStyle w:val="TableHeader"/>
              <w:keepNext w:val="0"/>
            </w:pPr>
            <w:r>
              <w:t>What it owns</w:t>
            </w:r>
          </w:p>
        </w:tc>
      </w:tr>
      <w:tr>
        <w:trPr>
          <w:cantSplit/>
        </w:trPr>
        <w:tc>
          <w:tcPr>
            <w:tcW w:type="dxa" w:w="4040"/>
            <w:tcMar>
              <w:top w:w="80" w:type="dxa"/>
              <w:bottom w:w="80" w:type="dxa"/>
              <w:start w:w="120" w:type="dxa"/>
              <w:end w:w="120" w:type="dxa"/>
            </w:tcMar>
            <w:vAlign w:val="center"/>
          </w:tcPr>
          <w:p>
            <w:pPr>
              <w:pStyle w:val="TableText"/>
              <w:keepNext w:val="0"/>
            </w:pPr>
            <w:r>
              <w:t>index.php / register.php</w:t>
            </w:r>
          </w:p>
        </w:tc>
        <w:tc>
          <w:tcPr>
            <w:tcW w:type="dxa" w:w="5320"/>
            <w:tcMar>
              <w:top w:w="80" w:type="dxa"/>
              <w:bottom w:w="80" w:type="dxa"/>
              <w:start w:w="120" w:type="dxa"/>
              <w:end w:w="120" w:type="dxa"/>
            </w:tcMar>
            <w:vAlign w:val="center"/>
          </w:tcPr>
          <w:p>
            <w:pPr>
              <w:pStyle w:val="TableText"/>
              <w:keepNext w:val="0"/>
            </w:pPr>
            <w:r>
              <w:t>Public sign-in and registration pages</w:t>
            </w:r>
          </w:p>
        </w:tc>
      </w:tr>
      <w:tr>
        <w:trPr>
          <w:cantSplit/>
        </w:trPr>
        <w:tc>
          <w:tcPr>
            <w:tcW w:type="dxa" w:w="4040"/>
            <w:tcMar>
              <w:top w:w="80" w:type="dxa"/>
              <w:bottom w:w="80" w:type="dxa"/>
              <w:start w:w="120" w:type="dxa"/>
              <w:end w:w="120" w:type="dxa"/>
            </w:tcMar>
            <w:vAlign w:val="center"/>
          </w:tcPr>
          <w:p>
            <w:pPr>
              <w:pStyle w:val="TableText"/>
              <w:keepNext w:val="0"/>
            </w:pPr>
            <w:r>
              <w:t>dashboard.php / admin-dashboard.php</w:t>
            </w:r>
          </w:p>
        </w:tc>
        <w:tc>
          <w:tcPr>
            <w:tcW w:type="dxa" w:w="5320"/>
            <w:tcMar>
              <w:top w:w="80" w:type="dxa"/>
              <w:bottom w:w="80" w:type="dxa"/>
              <w:start w:w="120" w:type="dxa"/>
              <w:end w:w="120" w:type="dxa"/>
            </w:tcMar>
            <w:vAlign w:val="center"/>
          </w:tcPr>
          <w:p>
            <w:pPr>
              <w:pStyle w:val="TableText"/>
              <w:keepNext w:val="0"/>
            </w:pPr>
            <w:r>
              <w:t>Role-specific page entry points and shared dashboard layout</w:t>
            </w:r>
          </w:p>
        </w:tc>
      </w:tr>
      <w:tr>
        <w:trPr>
          <w:cantSplit/>
        </w:trPr>
        <w:tc>
          <w:tcPr>
            <w:tcW w:type="dxa" w:w="4040"/>
            <w:tcMar>
              <w:top w:w="80" w:type="dxa"/>
              <w:bottom w:w="80" w:type="dxa"/>
              <w:start w:w="120" w:type="dxa"/>
              <w:end w:w="120" w:type="dxa"/>
            </w:tcMar>
            <w:vAlign w:val="center"/>
          </w:tcPr>
          <w:p>
            <w:pPr>
              <w:pStyle w:val="TableText"/>
              <w:keepNext w:val="0"/>
            </w:pPr>
            <w:r>
              <w:t>includes/ UI sections</w:t>
            </w:r>
          </w:p>
        </w:tc>
        <w:tc>
          <w:tcPr>
            <w:tcW w:type="dxa" w:w="5320"/>
            <w:tcMar>
              <w:top w:w="80" w:type="dxa"/>
              <w:bottom w:w="80" w:type="dxa"/>
              <w:start w:w="120" w:type="dxa"/>
              <w:end w:w="120" w:type="dxa"/>
            </w:tcMar>
            <w:vAlign w:val="center"/>
          </w:tcPr>
          <w:p>
            <w:pPr>
              <w:pStyle w:val="TableText"/>
              <w:keepNext w:val="0"/>
            </w:pPr>
            <w:r>
              <w:t>Navigation, overview, equipment, records, reports and dialogs</w:t>
            </w:r>
          </w:p>
        </w:tc>
      </w:tr>
      <w:tr>
        <w:trPr>
          <w:cantSplit/>
        </w:trPr>
        <w:tc>
          <w:tcPr>
            <w:tcW w:type="dxa" w:w="4040"/>
            <w:tcMar>
              <w:top w:w="80" w:type="dxa"/>
              <w:bottom w:w="80" w:type="dxa"/>
              <w:start w:w="120" w:type="dxa"/>
              <w:end w:w="120" w:type="dxa"/>
            </w:tcMar>
            <w:vAlign w:val="center"/>
          </w:tcPr>
          <w:p>
            <w:pPr>
              <w:pStyle w:val="TableText"/>
              <w:keepNext w:val="0"/>
            </w:pPr>
            <w:r>
              <w:t>read.php / validation endpoints / save.php</w:t>
            </w:r>
          </w:p>
        </w:tc>
        <w:tc>
          <w:tcPr>
            <w:tcW w:type="dxa" w:w="5320"/>
            <w:tcMar>
              <w:top w:w="80" w:type="dxa"/>
              <w:bottom w:w="80" w:type="dxa"/>
              <w:start w:w="120" w:type="dxa"/>
              <w:end w:w="120" w:type="dxa"/>
            </w:tcMar>
            <w:vAlign w:val="center"/>
          </w:tcPr>
          <w:p>
            <w:pPr>
              <w:pStyle w:val="TableText"/>
              <w:keepNext w:val="0"/>
            </w:pPr>
            <w:r>
              <w:t>Request dispatch, preflight checks, reads and writes</w:t>
            </w:r>
          </w:p>
        </w:tc>
      </w:tr>
      <w:tr>
        <w:trPr>
          <w:cantSplit/>
        </w:trPr>
        <w:tc>
          <w:tcPr>
            <w:tcW w:type="dxa" w:w="4040"/>
            <w:tcMar>
              <w:top w:w="80" w:type="dxa"/>
              <w:bottom w:w="80" w:type="dxa"/>
              <w:start w:w="120" w:type="dxa"/>
              <w:end w:w="120" w:type="dxa"/>
            </w:tcMar>
            <w:vAlign w:val="center"/>
          </w:tcPr>
          <w:p>
            <w:pPr>
              <w:pStyle w:val="TableText"/>
              <w:keepNext w:val="0"/>
            </w:pPr>
            <w:r>
              <w:t>App / HttpError</w:t>
            </w:r>
          </w:p>
        </w:tc>
        <w:tc>
          <w:tcPr>
            <w:tcW w:type="dxa" w:w="5320"/>
            <w:tcMar>
              <w:top w:w="80" w:type="dxa"/>
              <w:bottom w:w="80" w:type="dxa"/>
              <w:start w:w="120" w:type="dxa"/>
              <w:end w:w="120" w:type="dxa"/>
            </w:tcMar>
            <w:vAlign w:val="center"/>
          </w:tcPr>
          <w:p>
            <w:pPr>
              <w:pStyle w:val="TableText"/>
              <w:keepNext w:val="0"/>
            </w:pPr>
            <w:r>
              <w:t>Sessions, request checks, authorization and controlled errors</w:t>
            </w:r>
          </w:p>
        </w:tc>
      </w:tr>
      <w:tr>
        <w:trPr>
          <w:cantSplit/>
        </w:trPr>
        <w:tc>
          <w:tcPr>
            <w:tcW w:type="dxa" w:w="4040"/>
            <w:tcMar>
              <w:top w:w="80" w:type="dxa"/>
              <w:bottom w:w="80" w:type="dxa"/>
              <w:start w:w="120" w:type="dxa"/>
              <w:end w:w="120" w:type="dxa"/>
            </w:tcMar>
            <w:vAlign w:val="center"/>
          </w:tcPr>
          <w:p>
            <w:pPr>
              <w:pStyle w:val="TableText"/>
              <w:keepNext w:val="0"/>
            </w:pPr>
            <w:r>
              <w:t>Validation</w:t>
            </w:r>
          </w:p>
        </w:tc>
        <w:tc>
          <w:tcPr>
            <w:tcW w:type="dxa" w:w="5320"/>
            <w:tcMar>
              <w:top w:w="80" w:type="dxa"/>
              <w:bottom w:w="80" w:type="dxa"/>
              <w:start w:w="120" w:type="dxa"/>
              <w:end w:w="120" w:type="dxa"/>
            </w:tcMar>
            <w:vAlign w:val="center"/>
          </w:tcPr>
          <w:p>
            <w:pPr>
              <w:pStyle w:val="TableText"/>
              <w:keepNext w:val="0"/>
            </w:pPr>
            <w:r>
              <w:t>Private input/error state and reusable validation rules</w:t>
            </w:r>
          </w:p>
        </w:tc>
      </w:tr>
      <w:tr>
        <w:trPr>
          <w:cantSplit/>
        </w:trPr>
        <w:tc>
          <w:tcPr>
            <w:tcW w:type="dxa" w:w="4040"/>
            <w:tcMar>
              <w:top w:w="80" w:type="dxa"/>
              <w:bottom w:w="80" w:type="dxa"/>
              <w:start w:w="120" w:type="dxa"/>
              <w:end w:w="120" w:type="dxa"/>
            </w:tcMar>
            <w:vAlign w:val="center"/>
          </w:tcPr>
          <w:p>
            <w:pPr>
              <w:pStyle w:val="TableText"/>
              <w:keepNext w:val="0"/>
            </w:pPr>
            <w:r>
              <w:t>Config</w:t>
            </w:r>
          </w:p>
        </w:tc>
        <w:tc>
          <w:tcPr>
            <w:tcW w:type="dxa" w:w="5320"/>
            <w:tcMar>
              <w:top w:w="80" w:type="dxa"/>
              <w:bottom w:w="80" w:type="dxa"/>
              <w:start w:w="120" w:type="dxa"/>
              <w:end w:w="120" w:type="dxa"/>
            </w:tcMar>
            <w:vAlign w:val="center"/>
          </w:tcPr>
          <w:p>
            <w:pPr>
              <w:pStyle w:val="TableText"/>
              <w:keepNext w:val="0"/>
            </w:pPr>
            <w:r>
              <w:t>Private PDO connection and named procedure-call methods</w:t>
            </w:r>
          </w:p>
        </w:tc>
      </w:tr>
      <w:tr>
        <w:trPr>
          <w:cantSplit/>
        </w:trPr>
        <w:tc>
          <w:tcPr>
            <w:tcW w:type="dxa" w:w="4040"/>
            <w:tcMar>
              <w:top w:w="80" w:type="dxa"/>
              <w:bottom w:w="80" w:type="dxa"/>
              <w:start w:w="120" w:type="dxa"/>
              <w:end w:w="120" w:type="dxa"/>
            </w:tcMar>
            <w:vAlign w:val="center"/>
          </w:tcPr>
          <w:p>
            <w:pPr>
              <w:pStyle w:val="TableText"/>
              <w:keepNext w:val="0"/>
            </w:pPr>
            <w:r>
              <w:t>schema.sql</w:t>
            </w:r>
          </w:p>
        </w:tc>
        <w:tc>
          <w:tcPr>
            <w:tcW w:type="dxa" w:w="5320"/>
            <w:tcMar>
              <w:top w:w="80" w:type="dxa"/>
              <w:bottom w:w="80" w:type="dxa"/>
              <w:start w:w="120" w:type="dxa"/>
              <w:end w:w="120" w:type="dxa"/>
            </w:tcMar>
            <w:vAlign w:val="center"/>
          </w:tcPr>
          <w:p>
            <w:pPr>
              <w:pStyle w:val="TableText"/>
              <w:keepNext w:val="0"/>
            </w:pPr>
            <w:r>
              <w:t>Relations, stock rules, transaction state changes and joined queries</w:t>
            </w:r>
          </w:p>
        </w:tc>
      </w:tr>
    </w:tbl>
    <w:p>
      <w:pPr>
        <w:pStyle w:val="Quiet"/>
      </w:pPr>
    </w:p>
    <w:p>
      <w:pPr>
        <w:pStyle w:val="Heading2"/>
      </w:pPr>
      <w:r>
        <w:t>Pattern: data-access facade</w:t>
      </w:r>
    </w:p>
    <w:p>
      <w:r>
        <w:t>A caller asks Config for a business-related operation instead of preparing statements throughout the pages. The method below is from config/config.php. Its placeholders receive bound parameter values; the detailed SELECT and JOIN logic stays in schema.sql.</w:t>
      </w:r>
    </w:p>
    <w:p>
      <w:pPr>
        <w:pStyle w:val="Code"/>
        <w:keepNext/>
      </w:pPr>
      <w:r>
        <w:t>public function getEquipment(int $actor, int $equipmentId): array</w:t>
      </w:r>
    </w:p>
    <w:p>
      <w:pPr>
        <w:pStyle w:val="Code"/>
        <w:keepNext/>
      </w:pPr>
      <w:r>
        <w:t>{</w:t>
      </w:r>
    </w:p>
    <w:p>
      <w:pPr>
        <w:pStyle w:val="Code"/>
        <w:keepNext/>
      </w:pPr>
      <w:r>
        <w:t xml:space="preserve">    return $this-&gt;executeProcedure('CALL sp_equipment_get(?,?)',</w:t>
      </w:r>
    </w:p>
    <w:p>
      <w:pPr>
        <w:pStyle w:val="Code"/>
        <w:keepNext/>
      </w:pPr>
      <w:r>
        <w:t xml:space="preserve">        [$actor, $equipmentId]);</w:t>
      </w:r>
    </w:p>
    <w:p>
      <w:pPr>
        <w:pStyle w:val="Code"/>
        <w:keepNext w:val="0"/>
      </w:pPr>
      <w:r>
        <w:t>}</w:t>
      </w:r>
    </w:p>
    <w:p>
      <w:pPr>
        <w:pStyle w:val="Caption"/>
      </w:pPr>
      <w:r>
        <w:t>The example is line-wrapped for readability; it retains the existing method behavior. executeProcedure prepares the call, executes parameters, fetches results and closes the cursor.</w:t>
      </w:r>
    </w:p>
    <w:p>
      <w:pPr>
        <w:pStyle w:val="Heading2"/>
      </w:pPr>
      <w:r>
        <w:t>OOP concepts to explain</w:t>
      </w:r>
    </w:p>
    <w:p>
      <w:r>
        <w:t>Encapsulation: Config keeps PDO private; Validation keeps its data and errors private. Construction: Config opens its PDO connection when created. Reuse: the same Validation rules serve AJAX and saving. Inheritance: HttpError extends RuntimeException to represent expected request errors. Dashboard is also implemented as a JavaScript class.</w:t>
      </w:r>
    </w:p>
    <w:p>
      <w:pPr>
        <w:pStyle w:val="Heading1"/>
        <w:pageBreakBefore/>
      </w:pPr>
      <w:r>
        <w:t>Request walkthroughs and design choices</w:t>
      </w:r>
    </w:p>
    <w:p>
      <w:pPr>
        <w:pStyle w:val="Heading2"/>
      </w:pPr>
      <w:r>
        <w:t>Registration with AJAX</w:t>
      </w:r>
    </w:p>
    <w:p>
      <w:pPr>
        <w:pStyle w:val="NumberedStep"/>
        <w:numPr>
          <w:ilvl w:val="0"/>
          <w:numId w:val="11"/>
        </w:numPr>
      </w:pPr>
      <w:r>
        <w:t>Inline oninput/onblur handlers call checkField in assets/js/ajax.js. Normal text is normalized by server rules; passwords remain exactly as entered.</w:t>
      </w:r>
    </w:p>
    <w:p>
      <w:pPr>
        <w:pStyle w:val="NumberedStep"/>
        <w:numPr>
          <w:ilvl w:val="0"/>
          <w:numId w:val="11"/>
        </w:numPr>
      </w:pPr>
      <w:r>
        <w:t>XMLHttpRequest sends a field to validate_registration.php with the CSRF token. The response is VALID or INVALID|message; JavaScript updates the nearby span.</w:t>
      </w:r>
    </w:p>
    <w:p>
      <w:pPr>
        <w:pStyle w:val="NumberedStep"/>
        <w:numPr>
          <w:ilvl w:val="0"/>
          <w:numId w:val="11"/>
        </w:numPr>
      </w:pPr>
      <w:r>
        <w:t>Debouncing limits repeated calls, and stale responses are ignored. Username availability is checked on blur and submission.</w:t>
      </w:r>
    </w:p>
    <w:p>
      <w:pPr>
        <w:pStyle w:val="NumberedStep"/>
        <w:numPr>
          <w:ilvl w:val="0"/>
          <w:numId w:val="11"/>
        </w:numPr>
      </w:pPr>
      <w:r>
        <w:t>Submission waits for field checks, then sends the whole form to validation.php. Any errors are shown without saving.</w:t>
      </w:r>
    </w:p>
    <w:p>
      <w:pPr>
        <w:pStyle w:val="NumberedStep"/>
        <w:numPr>
          <w:ilvl w:val="0"/>
          <w:numId w:val="11"/>
        </w:numPr>
      </w:pPr>
      <w:r>
        <w:t>A valid form is posted to save.php. It repeats validation, hashes the password and calls Config::registerUser, which invokes sp_register.</w:t>
      </w:r>
    </w:p>
    <w:p>
      <w:pPr>
        <w:pStyle w:val="NumberedStep"/>
        <w:numPr>
          <w:ilvl w:val="0"/>
          <w:numId w:val="11"/>
        </w:numPr>
      </w:pPr>
      <w:r>
        <w:t>The server returns XML for the complete-form result. The client displays the outcome; it never uses localStorage as the database.</w:t>
      </w:r>
    </w:p>
    <w:p>
      <w:pPr>
        <w:pStyle w:val="Heading2"/>
      </w:pPr>
      <w:r>
        <w:t>Borrow release and return</w:t>
      </w:r>
    </w:p>
    <w:p>
      <w:r>
        <w:t>save.php takes the actor from the authenticated session, not a client-supplied user ID. It checks role and ownership before calling Config. The stored procedure checks the actor, current record state and stock again, then commits related updates together. This keeps concurrent requests from applying the same stock movement twice.</w:t>
      </w:r>
    </w:p>
    <w:p>
      <w:pPr>
        <w:pStyle w:val="Heading2"/>
      </w:pPr>
      <w:r>
        <w:t>Security and setup boundaries</w:t>
      </w:r>
    </w:p>
    <w:p>
      <w:r>
        <w:t>Sessions identify accounts; CSRF tokens protect state-changing requests; authorization restricts operations. Password hashes protect stored secrets and escaped output protects rendered pages. These controls serve different purposes.</w:t>
      </w:r>
    </w:p>
    <w:p>
      <w:r>
        <w:t>createdb.php loads schema.sql; populatedb.php inserts samples. Config does not parse SQL files or rewrite settings. Setup has a local-access guard. Normal operations use prepared CALLs; transaction handling stays in the procedures.</w:t>
      </w:r>
    </w:p>
    <w:p>
      <w:pPr>
        <w:pStyle w:val="Heading2"/>
      </w:pPr>
      <w:r>
        <w:t>Sources and scope</w:t>
      </w:r>
    </w:p>
    <w:p>
      <w:pPr>
        <w:pStyle w:val="Quiet"/>
      </w:pPr>
      <w:r>
        <w:t>config/config.php; request and validation helpers in includes/; register.php; assets/js/ajax.js; validation.php; validate_registration.php; save.php; read.php; database/schema.sql.</w:t>
      </w:r>
    </w:p>
    <w:p>
      <w:pPr>
        <w:pStyle w:val="Quiet"/>
      </w:pPr>
      <w:r>
        <w:t>WEB-APPLICATION-DEVELOPMENT-PROJECT.pdf, pp. 1–3 and 6–8: OOP and identifiable architecture/design pattern.</w:t>
      </w:r>
    </w:p>
    <w:p>
      <w:pPr>
        <w:pStyle w:val="Quiet"/>
      </w:pPr>
      <w:r>
        <w:t>This describes the current implementation. It does not claim a framework or additional abstraction that the source does not contain.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jc w:val="right"/>
    </w:pPr>
    <w:r>
      <w:t xml:space="preserve">Architecture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
    </w:pPr>
    <w:r>
      <w:t>AVITON  /  SCRAPBOOKLM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spacing w:before="0"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ind w:left="720" w:hanging="360"/>
        <w:spacing w:before="0"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asciiTheme="majorHAnsi" w:eastAsiaTheme="majorEastAsia" w:hAnsiTheme="majorHAnsi" w:cstheme="majorBidi" w:ascii="Calibri" w:hAnsi="Calibri" w:eastAsia="Calibri" w:cs="Calibri"/>
      <w:b/>
      <w:i w:val="0"/>
      <w:color w:val="18334D"/>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64" w:lineRule="auto"/>
    </w:pPr>
    <w:rPr>
      <w:rFonts w:asciiTheme="majorHAnsi" w:eastAsiaTheme="majorEastAsia" w:hAnsiTheme="majorHAnsi" w:cstheme="majorBidi" w:ascii="Calibri" w:hAnsi="Calibri" w:eastAsia="Calibri" w:cs="Calibri"/>
      <w:b w:val="0"/>
      <w:i w:val="0"/>
      <w:iCs/>
      <w:color w:val="596575"/>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eastAsia="Calibri" w:cs="Calibri"/>
      <w:b w:val="0"/>
      <w:bCs/>
      <w:i w:val="0"/>
      <w:color w:val="596575"/>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et">
    <w:name w:val="Quiet"/>
    <w:basedOn w:val="Normal"/>
    <w:pPr>
      <w:widowControl/>
      <w:spacing w:before="0" w:after="80" w:line="264" w:lineRule="auto"/>
    </w:pPr>
    <w:rPr>
      <w:rFonts w:ascii="Calibri" w:hAnsi="Calibri" w:eastAsia="Calibri" w:cs="Calibri"/>
      <w:b w:val="0"/>
      <w:i w:val="0"/>
      <w:color w:val="596575"/>
      <w:sz w:val="18"/>
      <w:u w:val="none"/>
    </w:rPr>
  </w:style>
  <w:style w:type="paragraph" w:customStyle="1" w:styleId="TableText">
    <w:name w:val="Table Text"/>
    <w:basedOn w:val="Normal"/>
    <w:pPr>
      <w:widowControl/>
      <w:spacing w:before="0" w:after="60" w:line="264" w:lineRule="auto"/>
    </w:pPr>
    <w:rPr>
      <w:rFonts w:ascii="Calibri" w:hAnsi="Calibri" w:eastAsia="Calibri" w:cs="Calibri"/>
      <w:b w:val="0"/>
      <w:i w:val="0"/>
      <w:color w:val="000000"/>
      <w:sz w:val="19"/>
      <w:u w:val="none"/>
    </w:rPr>
  </w:style>
  <w:style w:type="paragraph" w:customStyle="1" w:styleId="TableHeader">
    <w:name w:val="Table Header"/>
    <w:basedOn w:val="Normal"/>
    <w:pPr>
      <w:widowControl/>
      <w:spacing w:before="0" w:after="60" w:line="264" w:lineRule="auto"/>
    </w:pPr>
    <w:rPr>
      <w:rFonts w:ascii="Calibri" w:hAnsi="Calibri" w:eastAsia="Calibri" w:cs="Calibri"/>
      <w:b/>
      <w:i w:val="0"/>
      <w:color w:val="18334D"/>
      <w:sz w:val="19"/>
      <w:u w:val="none"/>
    </w:rPr>
  </w:style>
  <w:style w:type="paragraph" w:customStyle="1" w:styleId="Note">
    <w:name w:val="Note"/>
    <w:basedOn w:val="Normal"/>
    <w:pPr>
      <w:widowControl/>
      <w:spacing w:before="0" w:after="120" w:line="264" w:lineRule="auto"/>
    </w:pPr>
    <w:rPr>
      <w:rFonts w:ascii="Calibri" w:hAnsi="Calibri" w:eastAsia="Calibri" w:cs="Calibri"/>
      <w:b w:val="0"/>
      <w:i w:val="0"/>
      <w:color w:val="596575"/>
      <w:sz w:val="20"/>
      <w:u w:val="none"/>
    </w:rPr>
  </w:style>
  <w:style w:type="paragraph" w:customStyle="1" w:styleId="Code">
    <w:name w:val="Code"/>
    <w:basedOn w:val="Normal"/>
    <w:pPr>
      <w:widowControl/>
      <w:spacing w:before="0" w:after="40" w:line="264" w:lineRule="auto"/>
    </w:pPr>
    <w:rPr>
      <w:rFonts w:ascii="Consolas" w:hAnsi="Consolas" w:eastAsia="Consolas" w:cs="Consolas"/>
      <w:b w:val="0"/>
      <w:i w:val="0"/>
      <w:color w:val="18334D"/>
      <w:sz w:val="18"/>
      <w:u w:val="none"/>
    </w:rPr>
  </w:style>
  <w:style w:type="paragraph" w:customStyle="1" w:styleId="FormEntry">
    <w:name w:val="Form Entry"/>
    <w:basedOn w:val="Normal"/>
    <w:pPr>
      <w:widowControl/>
      <w:spacing w:before="0" w:after="200" w:line="264" w:lineRule="auto"/>
    </w:pPr>
    <w:rPr>
      <w:rFonts w:ascii="Calibri" w:hAnsi="Calibri" w:eastAsia="Calibri" w:cs="Calibri"/>
      <w:b w:val="0"/>
      <w:i w:val="0"/>
      <w:color w:val="000000"/>
      <w:sz w:val="22"/>
      <w:u w:val="none"/>
    </w:rPr>
  </w:style>
  <w:style w:type="paragraph" w:customStyle="1" w:styleId="NumberedStep">
    <w:name w:val="Numbered Step"/>
    <w:basedOn w:val="Normal"/>
    <w:pPr>
      <w:widowControl/>
      <w:spacing w:before="0" w:after="160" w:line="280" w:lineRule="auto"/>
      <w:ind w:left="720" w:hanging="360"/>
    </w:pPr>
    <w:rPr>
      <w:rFonts w:ascii="Calibri" w:hAnsi="Calibri" w:eastAsia="Calibri" w:cs="Calibri"/>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AviTON — System Architecture and Design Pattern</dc:title>
  <dc:subject>Web Application Development supporting documentation</dc:subject>
  <dc:creator>ScrapbookLM</dc:creator>
  <cp:keywords>AviTON, PHP, MariaDB, Bootstrap, SB Admin 2, course project</cp:keywords>
  <dc:description>Prepared from supplied project files. Contribution evidence and rehearsal outcomes require team confirmation.</dc:description>
  <cp:lastModifiedBy/>
  <cp:revision>1</cp:revision>
  <dcterms:created xsi:type="dcterms:W3CDTF">2026-08-31T00:00:00Z</dcterms:created>
  <dcterms:modified xsi:type="dcterms:W3CDTF">2026-08-31T00:00:00Z</dcterms:modified>
  <cp:category/>
</cp:coreProperties>
</file>