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7B" w:rsidRPr="002B5D8D" w:rsidRDefault="002B5D8D">
      <w:pPr>
        <w:pStyle w:val="1"/>
        <w:rPr>
          <w:rFonts w:ascii="ＭＳ ゴシック" w:eastAsia="ＭＳ ゴシック" w:hAnsi="ＭＳ ゴシック"/>
          <w:lang w:eastAsia="ja-JP"/>
        </w:rPr>
      </w:pPr>
      <w:r w:rsidRPr="002B5D8D">
        <w:rPr>
          <w:rFonts w:ascii="ＭＳ ゴシック" w:eastAsia="ＭＳ ゴシック" w:hAnsi="ＭＳ ゴシック"/>
          <w:lang w:eastAsia="ja-JP"/>
        </w:rPr>
        <w:t>部署表と従業員表における複合主キーと外部キーの理解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1.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はじめに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この資料は、応用情報技術者試験（令和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6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年春）に出題されたデータベース設計の問題における、「会社番号」「部署番号」「従業員番号」の関係、および複合主キーと外部キーの考え方を、図解とともに整理したものです。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2.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テーブル構造の整理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以下の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2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つのテーブルを扱います。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①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部署表（部署）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-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会社番号（主キーの一部）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-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部署番号（主キーの一部）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→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会社ごとに部署番号が割り当てられるため、「会社番号＋部署番号」で部署を一意に特定します。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  <w:t xml:space="preserve">②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従業員表（従業員）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-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会社番号（主キーの一部）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-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従業員番号（主キーの一部）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-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部署番号（外部キー）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→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「会社に属する従業員」を表します。部署番号は従業員が所属する部署を表します。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3.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複合主キーと外部キーの整理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部署表の主キー：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→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（会社番号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,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従業員表の主キー：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→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（会社番号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,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従業員番号）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従業員表の外部キー：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lastRenderedPageBreak/>
        <w:t xml:space="preserve">　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→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部署番号（単独）ではなく、部署表の（会社番号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,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部署番号）を参照していると考えるのが自然です。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4. SQL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文と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ON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句の理解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試験問題の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SQL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では以下のような結合が登場します：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  <w:t xml:space="preserve">    FROM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従業員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 EMP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  <w:t xml:space="preserve">    JOIN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 DEP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  <w:t xml:space="preserve">      ON EMP.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会社番号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 = DEP.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会社番号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  <w:t xml:space="preserve">     AND EMP.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 = DEP.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これは、従業員が所属する部署（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EMP.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部署番号）と、部署そのもの（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DEP.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部署番号）を結びつけるために、「会社番号＋部署番号」の両方で結合しているのです。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文脈上、部署は会社ごとに異なるため、会社番号だけでは不十分で、部署番号だけでも不足です。両方必要です。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5.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なぜ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ER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図やキーの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概念が出てくるか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ER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図やキー（主キー・外部キー）の概念は、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SQL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文を素早く正確に書くための前提知識です。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特に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JOIN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句でどの項目を結合条件に書くかを判断するには、</w:t>
      </w:r>
      <w:bookmarkStart w:id="0" w:name="_GoBack"/>
      <w:bookmarkEnd w:id="0"/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「何を一意に特定すべきか」「どの項目がどこを参照しているか（外部キー）」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という構造的な理解が不可欠です。</w:t>
      </w:r>
    </w:p>
    <w:p w:rsidR="00CB497B" w:rsidRPr="002B5D8D" w:rsidRDefault="002B5D8D">
      <w:pPr>
        <w:pStyle w:val="21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 xml:space="preserve">6. 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まとめ</w:t>
      </w:r>
    </w:p>
    <w:p w:rsidR="00CB497B" w:rsidRPr="002B5D8D" w:rsidRDefault="002B5D8D">
      <w:pPr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・部署は「会社番号＋部署番号」で一意に特定される（複合主キー）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・従業員表はその部署を参照するため、同じく「会社番号＋部署番号」で部署表を参照する必要がある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・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ON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句に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AND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が必要なのは、この「複合キーで結合する」必要があ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るからである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・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SQL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t>を素早く読むには、背後のリレーション設計を理解しておく必要がある</w:t>
      </w:r>
      <w:r w:rsidRPr="002B5D8D">
        <w:rPr>
          <w:rFonts w:ascii="ＭＳ ゴシック" w:eastAsia="ＭＳ ゴシック" w:hAnsi="ＭＳ ゴシック"/>
          <w:sz w:val="28"/>
          <w:szCs w:val="28"/>
          <w:lang w:eastAsia="ja-JP"/>
        </w:rPr>
        <w:br/>
      </w:r>
    </w:p>
    <w:sectPr w:rsidR="00CB497B" w:rsidRPr="002B5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5D8D"/>
    <w:rsid w:val="00326F90"/>
    <w:rsid w:val="00AA1D8D"/>
    <w:rsid w:val="00B47730"/>
    <w:rsid w:val="00CB0664"/>
    <w:rsid w:val="00CB49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579CD8AA-0BF7-469B-9396-7AAC8C2F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2C1BF-DFC1-4831-9943-03E4AA63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木村　道彦</cp:lastModifiedBy>
  <cp:revision>2</cp:revision>
  <dcterms:created xsi:type="dcterms:W3CDTF">2013-12-23T23:15:00Z</dcterms:created>
  <dcterms:modified xsi:type="dcterms:W3CDTF">2025-07-18T02:59:00Z</dcterms:modified>
  <cp:category/>
</cp:coreProperties>
</file>