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jc w:val="left"/>
      </w:pPr>
      <w:r>
        <w:t xml:space="preserve">2.4.1 Rol de Cada Componente GCP en GestPro (Escenario Recomendado — $144/mes)</w:t>
      </w:r>
    </w:p>
    <w:p>
      <w:pPr>
        <w:spacing w:after="120"/>
        <w:jc w:val="left"/>
      </w:pPr>
      <w:r>
        <w:t xml:space="preserve">Esta sección explica para qué sirve cada servicio de la nube en el contexto específico del sistema GestPro CRM Inmobiliario.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Compute Engine — e2-standard-2 (2 vCPU / 8 GB RAM · $49/mes)</w:t>
      </w:r>
    </w:p>
    <w:p>
      <w:pPr>
        <w:spacing w:after="120"/>
        <w:jc w:val="left"/>
      </w:pPr>
      <w:r>
        <w:rPr>
          <w:b/>
          <w:bCs/>
        </w:rPr>
        <w:t xml:space="preserve">Qué es:</w:t>
      </w:r>
      <w:r>
        <w:t xml:space="preserve"> Máquina virtual de propósito general en Google Cloud.</w:t>
      </w:r>
    </w:p>
    <w:p>
      <w:pPr>
        <w:spacing w:after="200"/>
      </w:pPr>
      <w:r>
        <w:t xml:space="preserve"> </w:t>
      </w:r>
    </w:p>
    <w:p>
      <w:pPr>
        <w:spacing w:after="120"/>
        <w:jc w:val="left"/>
      </w:pPr>
      <w:r>
        <w:rPr>
          <w:b/>
          <w:bCs/>
        </w:rPr>
        <w:t xml:space="preserve">Para qué se usa en GestPro:</w:t>
      </w:r>
      <w:r>
        <w:br/>
      </w:r>
      <w:r>
        <w:t xml:space="preserve">Es el servidor principal de la aplicación. Ejecuta simultáneamente los cuatro procesos del sistema:</w:t>
      </w:r>
    </w:p>
    <w:p>
      <w:pPr>
        <w:spacing w:after="200"/>
      </w:pPr>
      <w:r>
        <w:t xml:space="preserve"> </w:t>
      </w:r>
    </w:p>
    <w:p>
      <w:pPr>
        <w:pStyle w:val="ListParagraph"/>
        <w:numPr>
          <w:ilvl w:val="0"/>
          <w:numId w:val="2"/>
        </w:numPr>
        <w:spacing w:after="100"/>
        <w:ind w:start="240"/>
        <w:jc w:val="left"/>
      </w:pPr>
      <w:r>
        <w:rPr>
          <w:b/>
          <w:bCs/>
        </w:rPr>
        <w:t xml:space="preserve">API NestJS</w:t>
      </w:r>
      <w:r>
        <w:t xml:space="preserve"> (puerto 3000) — lógica de negocio, autenticación, pipeline, visitas, BI</w:t>
      </w:r>
    </w:p>
    <w:p>
      <w:pPr>
        <w:pStyle w:val="ListParagraph"/>
        <w:numPr>
          <w:ilvl w:val="0"/>
          <w:numId w:val="2"/>
        </w:numPr>
        <w:spacing w:after="100"/>
        <w:ind w:start="240"/>
        <w:jc w:val="left"/>
      </w:pPr>
      <w:r>
        <w:rPr>
          <w:b/>
          <w:bCs/>
        </w:rPr>
        <w:t xml:space="preserve">CRM Web React/Vite</w:t>
      </w:r>
      <w:r>
        <w:t xml:space="preserve"> servido por Nginx</w:t>
      </w:r>
    </w:p>
    <w:p>
      <w:pPr>
        <w:pStyle w:val="ListParagraph"/>
        <w:numPr>
          <w:ilvl w:val="0"/>
          <w:numId w:val="2"/>
        </w:numPr>
        <w:spacing w:after="100"/>
        <w:ind w:start="240"/>
        <w:jc w:val="left"/>
      </w:pPr>
      <w:r>
        <w:rPr>
          <w:b/>
          <w:bCs/>
        </w:rPr>
        <w:t xml:space="preserve">Portal Público Next.js</w:t>
      </w:r>
      <w:r>
        <w:t xml:space="preserve"> (SSR en puerto 3001)</w:t>
      </w:r>
    </w:p>
    <w:p>
      <w:pPr>
        <w:pStyle w:val="ListParagraph"/>
        <w:numPr>
          <w:ilvl w:val="0"/>
          <w:numId w:val="2"/>
        </w:numPr>
        <w:spacing w:after="100"/>
        <w:ind w:start="240"/>
        <w:jc w:val="left"/>
      </w:pPr>
      <w:r>
        <w:rPr>
          <w:b/>
          <w:bCs/>
        </w:rPr>
        <w:t xml:space="preserve">Workers BullMQ</w:t>
      </w:r>
      <w:r>
        <w:t xml:space="preserve"> — generación de brochures PDF y procesamiento de colas de notificaciones</w:t>
      </w:r>
    </w:p>
    <w:p>
      <w:pPr>
        <w:spacing w:after="200"/>
      </w:pPr>
      <w:r>
        <w:t xml:space="preserve"> </w:t>
      </w:r>
    </w:p>
    <w:p>
      <w:pPr>
        <w:spacing w:after="120"/>
        <w:jc w:val="left"/>
      </w:pPr>
      <w:r>
        <w:t xml:space="preserve">Con 2 vCPU y 8 GB de RAM tiene margen suficiente para ~30–50 tenants activos concurrentes sin degradación. Si el tráfico crece, se puede redimensionar verticalmente (e2-standard-4) sin cambiar la arquitectura.</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Persistent Disk SSD — Boot 40 GB ($7/mes)</w:t>
      </w:r>
    </w:p>
    <w:p>
      <w:pPr>
        <w:spacing w:after="120"/>
        <w:jc w:val="left"/>
      </w:pPr>
      <w:r>
        <w:rPr>
          <w:b/>
          <w:bCs/>
        </w:rPr>
        <w:t xml:space="preserve">Qué es:</w:t>
      </w:r>
      <w:r>
        <w:t xml:space="preserve"> Disco de arranque del sistema operativo de la VM.</w:t>
      </w:r>
    </w:p>
    <w:p>
      <w:pPr>
        <w:spacing w:after="200"/>
      </w:pPr>
      <w:r>
        <w:t xml:space="preserve"> </w:t>
      </w:r>
    </w:p>
    <w:p>
      <w:pPr>
        <w:spacing w:after="120"/>
        <w:jc w:val="left"/>
      </w:pPr>
      <w:r>
        <w:rPr>
          <w:b/>
          <w:bCs/>
        </w:rPr>
        <w:t xml:space="preserve">Para qué se usa en GestPro:</w:t>
      </w:r>
      <w:r>
        <w:br/>
      </w:r>
      <w:r>
        <w:t xml:space="preserve">Contiene el sistema operativo (Ubuntu/Debian), el runtime de Node.js, las dependencias npm, el código desplegado de todos los paquetes del monorepo y la configuración de Nginx. Se mantiene separado del disco de datos para poder recrear la VM desde una imagen sin perder uploads ni backups.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Persistent Disk SSD — Datos 100 GB ($17/mes)</w:t>
      </w:r>
    </w:p>
    <w:p>
      <w:pPr>
        <w:spacing w:after="120"/>
        <w:jc w:val="left"/>
      </w:pPr>
      <w:r>
        <w:rPr>
          <w:b/>
          <w:bCs/>
        </w:rPr>
        <w:t xml:space="preserve">Qué es:</w:t>
      </w:r>
      <w:r>
        <w:t xml:space="preserve"> Volumen de datos independiente montado en la VM (p. ej. </w:t>
      </w:r>
      <w:r>
        <w:rPr>
          <w:rFonts w:ascii="Courier New" w:cs="Courier New" w:eastAsia="Courier New" w:hAnsi="Courier New"/>
          <w:shd w:fill="F1F5F9" w:color="auto" w:val="clear"/>
        </w:rPr>
        <w:t xml:space="preserve">/mnt/data</w:t>
      </w:r>
      <w:r>
        <w:t xml:space="preserve">).</w:t>
      </w:r>
    </w:p>
    <w:p>
      <w:pPr>
        <w:spacing w:after="200"/>
      </w:pPr>
      <w:r>
        <w:t xml:space="preserve"> </w:t>
      </w:r>
    </w:p>
    <w:p>
      <w:pPr>
        <w:spacing w:after="120"/>
        <w:jc w:val="left"/>
      </w:pPr>
      <w:r>
        <w:rPr>
          <w:b/>
          <w:bCs/>
        </w:rPr>
        <w:t xml:space="preserve">Para qué se usa en GestPro:</w:t>
      </w:r>
      <w:r>
        <w:br/>
      </w:r>
      <w:r>
        <w:t xml:space="preserve">Almacena los archivos que genera y consume la aplicación en tiempo de ejecución:</w:t>
      </w:r>
    </w:p>
    <w:p>
      <w:pPr>
        <w:spacing w:after="200"/>
      </w:pPr>
      <w:r>
        <w:t xml:space="preserve"> </w:t>
      </w:r>
    </w:p>
    <w:p>
      <w:pPr>
        <w:pStyle w:val="ListParagraph"/>
        <w:numPr>
          <w:ilvl w:val="0"/>
          <w:numId w:val="2"/>
        </w:numPr>
        <w:spacing w:after="100"/>
        <w:ind w:start="240"/>
        <w:jc w:val="left"/>
      </w:pPr>
      <w:r>
        <w:rPr>
          <w:b/>
          <w:bCs/>
        </w:rPr>
        <w:t xml:space="preserve">`uploads/`</w:t>
      </w:r>
      <w:r>
        <w:t xml:space="preserve"> — fotos de propiedades, documentos de expedientes legales, contratos escaneados (cuando no se usa Cloudflare R2)</w:t>
      </w:r>
    </w:p>
    <w:p>
      <w:pPr>
        <w:pStyle w:val="ListParagraph"/>
        <w:numPr>
          <w:ilvl w:val="0"/>
          <w:numId w:val="2"/>
        </w:numPr>
        <w:spacing w:after="100"/>
        <w:ind w:start="240"/>
        <w:jc w:val="left"/>
      </w:pPr>
      <w:r>
        <w:rPr>
          <w:b/>
          <w:bCs/>
        </w:rPr>
        <w:t xml:space="preserve">Logs de aplicación</w:t>
      </w:r>
      <w:r>
        <w:t xml:space="preserve"> rotados por PM2/Winston</w:t>
      </w:r>
    </w:p>
    <w:p>
      <w:pPr>
        <w:pStyle w:val="ListParagraph"/>
        <w:numPr>
          <w:ilvl w:val="0"/>
          <w:numId w:val="2"/>
        </w:numPr>
        <w:spacing w:after="100"/>
        <w:ind w:start="240"/>
        <w:jc w:val="left"/>
      </w:pPr>
      <w:r>
        <w:rPr>
          <w:b/>
          <w:bCs/>
        </w:rPr>
        <w:t xml:space="preserve">Caché temporal</w:t>
      </w:r>
      <w:r>
        <w:t xml:space="preserve"> de PDFs de brochures antes de enviarse a Cloud Storage</w:t>
      </w:r>
    </w:p>
    <w:p>
      <w:pPr>
        <w:spacing w:after="200"/>
      </w:pPr>
      <w:r>
        <w:t xml:space="preserve"> </w:t>
      </w:r>
    </w:p>
    <w:p>
      <w:pPr>
        <w:spacing w:after="120"/>
        <w:jc w:val="left"/>
      </w:pPr>
      <w:r>
        <w:t xml:space="preserve">Al estar en un volumen separado, un snapshot de este disco sirve como backup incremental de todos los activos binarios sin necesidad de descargar desde la VM.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Cloud SQL for PostgreSQL — db-g1-small (1 vCPU / 1.7 GB · $26/mes)</w:t>
      </w:r>
    </w:p>
    <w:p>
      <w:pPr>
        <w:spacing w:after="120"/>
        <w:jc w:val="left"/>
      </w:pPr>
      <w:r>
        <w:rPr>
          <w:b/>
          <w:bCs/>
        </w:rPr>
        <w:t xml:space="preserve">Qué es:</w:t>
      </w:r>
      <w:r>
        <w:t xml:space="preserve"> Instancia de PostgreSQL 16 totalmente administrada por Google (parches, backups automáticos, failover).</w:t>
      </w:r>
    </w:p>
    <w:p>
      <w:pPr>
        <w:spacing w:after="200"/>
      </w:pPr>
      <w:r>
        <w:t xml:space="preserve"> </w:t>
      </w:r>
    </w:p>
    <w:p>
      <w:pPr>
        <w:spacing w:after="120"/>
        <w:jc w:val="left"/>
      </w:pPr>
      <w:r>
        <w:rPr>
          <w:b/>
          <w:bCs/>
        </w:rPr>
        <w:t xml:space="preserve">Para qué se usa en GestPro:</w:t>
      </w:r>
      <w:r>
        <w:br/>
      </w:r>
      <w:r>
        <w:t xml:space="preserve">Es la base de datos principal del sistema. Almacena todas las entidades del dominio:</w:t>
      </w:r>
    </w:p>
    <w:p>
      <w:pPr>
        <w:spacing w:after="200"/>
      </w:pPr>
      <w:r>
        <w:t xml:space="preserve"> </w:t>
      </w:r>
    </w:p>
    <w:p>
      <w:pPr>
        <w:pStyle w:val="ListParagraph"/>
        <w:numPr>
          <w:ilvl w:val="0"/>
          <w:numId w:val="2"/>
        </w:numPr>
        <w:spacing w:after="100"/>
        <w:ind w:start="240"/>
        <w:jc w:val="left"/>
      </w:pPr>
      <w:r>
        <w:t xml:space="preserve">Tenants, usuarios, sesiones y auditoría</w:t>
      </w:r>
    </w:p>
    <w:p>
      <w:pPr>
        <w:pStyle w:val="ListParagraph"/>
        <w:numPr>
          <w:ilvl w:val="0"/>
          <w:numId w:val="2"/>
        </w:numPr>
        <w:spacing w:after="100"/>
        <w:ind w:start="240"/>
        <w:jc w:val="left"/>
      </w:pPr>
      <w:r>
        <w:t xml:space="preserve">Propiedades, propietarios y expedientes legales</w:t>
      </w:r>
    </w:p>
    <w:p>
      <w:pPr>
        <w:pStyle w:val="ListParagraph"/>
        <w:numPr>
          <w:ilvl w:val="0"/>
          <w:numId w:val="2"/>
        </w:numPr>
        <w:spacing w:after="100"/>
        <w:ind w:start="240"/>
        <w:jc w:val="left"/>
      </w:pPr>
      <w:r>
        <w:t xml:space="preserve">Clientes, pipeline de ventas e interacciones</w:t>
      </w:r>
    </w:p>
    <w:p>
      <w:pPr>
        <w:pStyle w:val="ListParagraph"/>
        <w:numPr>
          <w:ilvl w:val="0"/>
          <w:numId w:val="2"/>
        </w:numPr>
        <w:spacing w:after="100"/>
        <w:ind w:start="240"/>
        <w:jc w:val="left"/>
      </w:pPr>
      <w:r>
        <w:t xml:space="preserve">Visitas, agendas y reportes post-visita</w:t>
      </w:r>
    </w:p>
    <w:p>
      <w:pPr>
        <w:pStyle w:val="ListParagraph"/>
        <w:numPr>
          <w:ilvl w:val="0"/>
          <w:numId w:val="2"/>
        </w:numPr>
        <w:spacing w:after="100"/>
        <w:ind w:start="240"/>
        <w:jc w:val="left"/>
      </w:pPr>
      <w:r>
        <w:t xml:space="preserve">Configuración por tenant y logs de notificaciones</w:t>
      </w:r>
    </w:p>
    <w:p>
      <w:pPr>
        <w:spacing w:after="200"/>
      </w:pPr>
      <w:r>
        <w:t xml:space="preserve"> </w:t>
      </w:r>
    </w:p>
    <w:p>
      <w:pPr>
        <w:spacing w:after="120"/>
        <w:jc w:val="left"/>
      </w:pPr>
      <w:r>
        <w:t xml:space="preserve">Las políticas de </w:t>
      </w:r>
      <w:r>
        <w:rPr>
          <w:b/>
          <w:bCs/>
        </w:rPr>
        <w:t xml:space="preserve">Row-Level Security (RLS)</w:t>
      </w:r>
      <w:r>
        <w:t xml:space="preserve"> que garantizan el aislamiento multi-tenant se ejecutan directamente en esta instancia. Al ser un servicio administrado, Google gestiona los backups diarios automáticos con retención de 7 días, lo que elimina ese riesgo operativo del equipo de desarrollo.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Memorystore for Redis — Basic 1 GB ($35/mes)</w:t>
      </w:r>
    </w:p>
    <w:p>
      <w:pPr>
        <w:spacing w:after="120"/>
        <w:jc w:val="left"/>
      </w:pPr>
      <w:r>
        <w:rPr>
          <w:b/>
          <w:bCs/>
        </w:rPr>
        <w:t xml:space="preserve">Qué es:</w:t>
      </w:r>
      <w:r>
        <w:t xml:space="preserve"> Instancia de Redis administrada por Google, con baja latencia y alta disponibilidad regional.</w:t>
      </w:r>
    </w:p>
    <w:p>
      <w:pPr>
        <w:spacing w:after="200"/>
      </w:pPr>
      <w:r>
        <w:t xml:space="preserve"> </w:t>
      </w:r>
    </w:p>
    <w:p>
      <w:pPr>
        <w:spacing w:after="120"/>
        <w:jc w:val="left"/>
      </w:pPr>
      <w:r>
        <w:rPr>
          <w:b/>
          <w:bCs/>
        </w:rPr>
        <w:t xml:space="preserve">Para qué se usa en GestPro:</w:t>
      </w:r>
      <w:r>
        <w:br/>
      </w:r>
      <w:r>
        <w:t xml:space="preserve">Redis cumple dos funciones críticas en el sistema:</w:t>
      </w:r>
    </w:p>
    <w:p>
      <w:pPr>
        <w:spacing w:after="200"/>
      </w:pPr>
      <w:r>
        <w:t xml:space="preserve"> </w:t>
      </w:r>
    </w:p>
    <w:p>
      <w:pPr>
        <w:spacing w:after="100"/>
        <w:ind w:start="20"/>
        <w:jc w:val="left"/>
      </w:pPr>
      <w:r>
        <w:t xml:space="preserve">1. </w:t>
      </w:r>
      <w:r>
        <w:rPr>
          <w:b/>
          <w:bCs/>
        </w:rPr>
        <w:t xml:space="preserve">Cola de trabajos BullMQ</w:t>
      </w:r>
      <w:r>
        <w:t xml:space="preserve"> — los jobs de generación de brochures PDF, envío de notificaciones push y procesamiento de webhooks de DocuSign/Meta se encolan en Redis. Sin Redis, estos trabajos no pueden ejecutarse.</w:t>
      </w:r>
    </w:p>
    <w:p>
      <w:pPr>
        <w:spacing w:after="100"/>
        <w:ind w:start="20"/>
        <w:jc w:val="left"/>
      </w:pPr>
      <w:r>
        <w:t xml:space="preserve">2. </w:t>
      </w:r>
      <w:r>
        <w:rPr>
          <w:b/>
          <w:bCs/>
        </w:rPr>
        <w:t xml:space="preserve">Caché de dashboards BI</w:t>
      </w:r>
      <w:r>
        <w:t xml:space="preserve"> — </w:t>
      </w:r>
      <w:r>
        <w:rPr>
          <w:rFonts w:ascii="Courier New" w:cs="Courier New" w:eastAsia="Courier New" w:hAnsi="Courier New"/>
          <w:shd w:fill="F1F5F9" w:color="auto" w:val="clear"/>
        </w:rPr>
        <w:t xml:space="preserve">BiService</w:t>
      </w:r>
      <w:r>
        <w:t xml:space="preserve"> almacena en Redis (por 15 minutos) el resultado de las consultas analíticas pesadas (actividad del pipeline, tasas de conversión, propiedades más vistas). Cada request de dashboard que llega antes de que expire el caché no toca la base de datos, reduciendo la latencia de ~400 ms a ~5 ms.</w:t>
      </w:r>
    </w:p>
    <w:p>
      <w:pPr>
        <w:spacing w:after="200"/>
      </w:pPr>
      <w:r>
        <w:t xml:space="preserve"> </w:t>
      </w:r>
    </w:p>
    <w:p>
      <w:pPr>
        <w:spacing w:after="120"/>
        <w:jc w:val="left"/>
      </w:pPr>
      <w:r>
        <w:t xml:space="preserve">Al ser un servicio administrado, no requiere configuración de persistencia ni mantenimiento de instancias.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Cloud Storage — Standard 100 GB ($2/mes)</w:t>
      </w:r>
    </w:p>
    <w:p>
      <w:pPr>
        <w:spacing w:after="120"/>
        <w:jc w:val="left"/>
      </w:pPr>
      <w:r>
        <w:rPr>
          <w:b/>
          <w:bCs/>
        </w:rPr>
        <w:t xml:space="preserve">Qué es:</w:t>
      </w:r>
      <w:r>
        <w:t xml:space="preserve"> Almacenamiento de objetos duradero y de bajo costo (equivalente a S3 de AWS).</w:t>
      </w:r>
    </w:p>
    <w:p>
      <w:pPr>
        <w:spacing w:after="200"/>
      </w:pPr>
      <w:r>
        <w:t xml:space="preserve"> </w:t>
      </w:r>
    </w:p>
    <w:p>
      <w:pPr>
        <w:spacing w:after="120"/>
        <w:jc w:val="left"/>
      </w:pPr>
      <w:r>
        <w:rPr>
          <w:b/>
          <w:bCs/>
        </w:rPr>
        <w:t xml:space="preserve">Para qué se usa en GestPro:</w:t>
      </w:r>
      <w:r>
        <w:br/>
      </w:r>
      <w:r>
        <w:t xml:space="preserve">Actúa como capa de almacenamiento de objetos cuando </w:t>
      </w:r>
      <w:r>
        <w:rPr>
          <w:rFonts w:ascii="Courier New" w:cs="Courier New" w:eastAsia="Courier New" w:hAnsi="Courier New"/>
          <w:shd w:fill="F1F5F9" w:color="auto" w:val="clear"/>
        </w:rPr>
        <w:t xml:space="preserve">R2_BUCKET</w:t>
      </w:r>
      <w:r>
        <w:t xml:space="preserve"> está configurado (el </w:t>
      </w:r>
      <w:r>
        <w:rPr>
          <w:rFonts w:ascii="Courier New" w:cs="Courier New" w:eastAsia="Courier New" w:hAnsi="Courier New"/>
          <w:shd w:fill="F1F5F9" w:color="auto" w:val="clear"/>
        </w:rPr>
        <w:t xml:space="preserve">StorageService</w:t>
      </w:r>
      <w:r>
        <w:t xml:space="preserve"> lo detecta automáticamente). Sirve para:</w:t>
      </w:r>
    </w:p>
    <w:p>
      <w:pPr>
        <w:spacing w:after="200"/>
      </w:pPr>
      <w:r>
        <w:t xml:space="preserve"> </w:t>
      </w:r>
    </w:p>
    <w:p>
      <w:pPr>
        <w:pStyle w:val="ListParagraph"/>
        <w:numPr>
          <w:ilvl w:val="0"/>
          <w:numId w:val="2"/>
        </w:numPr>
        <w:spacing w:after="100"/>
        <w:ind w:start="240"/>
        <w:jc w:val="left"/>
      </w:pPr>
      <w:r>
        <w:rPr>
          <w:b/>
          <w:bCs/>
        </w:rPr>
        <w:t xml:space="preserve">Fotos de propiedades</w:t>
      </w:r>
      <w:r>
        <w:t xml:space="preserve"> comprimidas y con watermark por </w:t>
      </w:r>
      <w:r>
        <w:rPr>
          <w:rFonts w:ascii="Courier New" w:cs="Courier New" w:eastAsia="Courier New" w:hAnsi="Courier New"/>
          <w:shd w:fill="F1F5F9" w:color="auto" w:val="clear"/>
        </w:rPr>
        <w:t xml:space="preserve">ImageService</w:t>
      </w:r>
      <w:r>
        <w:t xml:space="preserve"> (máx. 2000 px, JPEG 82 %)</w:t>
      </w:r>
    </w:p>
    <w:p>
      <w:pPr>
        <w:pStyle w:val="ListParagraph"/>
        <w:numPr>
          <w:ilvl w:val="0"/>
          <w:numId w:val="2"/>
        </w:numPr>
        <w:spacing w:after="100"/>
        <w:ind w:start="240"/>
        <w:jc w:val="left"/>
      </w:pPr>
      <w:r>
        <w:rPr>
          <w:b/>
          <w:bCs/>
        </w:rPr>
        <w:t xml:space="preserve">Documentos de expedientes</w:t>
      </w:r>
      <w:r>
        <w:t xml:space="preserve"> (escrituras, planos, permisos)</w:t>
      </w:r>
    </w:p>
    <w:p>
      <w:pPr>
        <w:pStyle w:val="ListParagraph"/>
        <w:numPr>
          <w:ilvl w:val="0"/>
          <w:numId w:val="2"/>
        </w:numPr>
        <w:spacing w:after="100"/>
        <w:ind w:start="240"/>
        <w:jc w:val="left"/>
      </w:pPr>
      <w:r>
        <w:rPr>
          <w:b/>
          <w:bCs/>
        </w:rPr>
        <w:t xml:space="preserve">PDFs de brochures</w:t>
      </w:r>
      <w:r>
        <w:t xml:space="preserve"> generados por </w:t>
      </w:r>
      <w:r>
        <w:rPr>
          <w:rFonts w:ascii="Courier New" w:cs="Courier New" w:eastAsia="Courier New" w:hAnsi="Courier New"/>
          <w:shd w:fill="F1F5F9" w:color="auto" w:val="clear"/>
        </w:rPr>
        <w:t xml:space="preserve">BrochureProcessor</w:t>
      </w:r>
    </w:p>
    <w:p>
      <w:pPr>
        <w:pStyle w:val="ListParagraph"/>
        <w:numPr>
          <w:ilvl w:val="0"/>
          <w:numId w:val="2"/>
        </w:numPr>
        <w:spacing w:after="100"/>
        <w:ind w:start="240"/>
        <w:jc w:val="left"/>
      </w:pPr>
      <w:r>
        <w:rPr>
          <w:b/>
          <w:bCs/>
        </w:rPr>
        <w:t xml:space="preserve">Backups del Persistent Disk</w:t>
      </w:r>
      <w:r>
        <w:t xml:space="preserve"> exportados periódicamente por el script </w:t>
      </w:r>
      <w:r>
        <w:rPr>
          <w:rFonts w:ascii="Courier New" w:cs="Courier New" w:eastAsia="Courier New" w:hAnsi="Courier New"/>
          <w:shd w:fill="F1F5F9" w:color="auto" w:val="clear"/>
        </w:rPr>
        <w:t xml:space="preserve">infra/backup/backup.sh</w:t>
      </w:r>
    </w:p>
    <w:p>
      <w:pPr>
        <w:spacing w:after="200"/>
      </w:pPr>
      <w:r>
        <w:t xml:space="preserve"> </w:t>
      </w:r>
    </w:p>
    <w:p>
      <w:pPr>
        <w:spacing w:after="120"/>
        <w:jc w:val="left"/>
      </w:pPr>
      <w:r>
        <w:t xml:space="preserve">Con 100 GB y el precio de Standard ($0.02/GB) el costo es mínimo; el bucket puede crecer bajo demanda sin redimensionamiento manual.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Cloud Armor — WAF Básico ($5/mes)</w:t>
      </w:r>
    </w:p>
    <w:p>
      <w:pPr>
        <w:spacing w:after="120"/>
        <w:jc w:val="left"/>
      </w:pPr>
      <w:r>
        <w:rPr>
          <w:b/>
          <w:bCs/>
        </w:rPr>
        <w:t xml:space="preserve">Qué es:</w:t>
      </w:r>
      <w:r>
        <w:t xml:space="preserve"> Servicio de firewall de aplicaciones web (WAF) y protección contra DDoS de Google Cloud.</w:t>
      </w:r>
    </w:p>
    <w:p>
      <w:pPr>
        <w:spacing w:after="200"/>
      </w:pPr>
      <w:r>
        <w:t xml:space="preserve"> </w:t>
      </w:r>
    </w:p>
    <w:p>
      <w:pPr>
        <w:spacing w:after="120"/>
        <w:jc w:val="left"/>
      </w:pPr>
      <w:r>
        <w:rPr>
          <w:b/>
          <w:bCs/>
        </w:rPr>
        <w:t xml:space="preserve">Para qué se usa en GestPro:</w:t>
      </w:r>
      <w:r>
        <w:br/>
      </w:r>
      <w:r>
        <w:t xml:space="preserve">Protege el punto de entrada público del sistema (la IP del Load Balancer o la VM) contra:</w:t>
      </w:r>
    </w:p>
    <w:p>
      <w:pPr>
        <w:spacing w:after="200"/>
      </w:pPr>
      <w:r>
        <w:t xml:space="preserve"> </w:t>
      </w:r>
    </w:p>
    <w:p>
      <w:pPr>
        <w:pStyle w:val="ListParagraph"/>
        <w:numPr>
          <w:ilvl w:val="0"/>
          <w:numId w:val="2"/>
        </w:numPr>
        <w:spacing w:after="100"/>
        <w:ind w:start="240"/>
        <w:jc w:val="left"/>
      </w:pPr>
      <w:r>
        <w:rPr>
          <w:b/>
          <w:bCs/>
        </w:rPr>
        <w:t xml:space="preserve">Ataques DDoS volumétricos</w:t>
      </w:r>
      <w:r>
        <w:t xml:space="preserve"> — limita el daño si el portal o la API reciben tráfico malicioso masivo</w:t>
      </w:r>
    </w:p>
    <w:p>
      <w:pPr>
        <w:pStyle w:val="ListParagraph"/>
        <w:numPr>
          <w:ilvl w:val="0"/>
          <w:numId w:val="2"/>
        </w:numPr>
        <w:spacing w:after="100"/>
        <w:ind w:start="240"/>
        <w:jc w:val="left"/>
      </w:pPr>
      <w:r>
        <w:rPr>
          <w:b/>
          <w:bCs/>
        </w:rPr>
        <w:t xml:space="preserve">OWASP Top 10</w:t>
      </w:r>
      <w:r>
        <w:t xml:space="preserve"> — reglas preconfiguradas que bloquean inyección SQL, XSS, path traversal y ataques de fuerza bruta contra </w:t>
      </w:r>
      <w:r>
        <w:rPr>
          <w:rFonts w:ascii="Courier New" w:cs="Courier New" w:eastAsia="Courier New" w:hAnsi="Courier New"/>
          <w:shd w:fill="F1F5F9" w:color="auto" w:val="clear"/>
        </w:rPr>
        <w:t xml:space="preserve">/api/auth/login</w:t>
      </w:r>
    </w:p>
    <w:p>
      <w:pPr>
        <w:pStyle w:val="ListParagraph"/>
        <w:numPr>
          <w:ilvl w:val="0"/>
          <w:numId w:val="2"/>
        </w:numPr>
        <w:spacing w:after="100"/>
        <w:ind w:start="240"/>
        <w:jc w:val="left"/>
      </w:pPr>
      <w:r>
        <w:rPr>
          <w:b/>
          <w:bCs/>
        </w:rPr>
        <w:t xml:space="preserve">Rate limiting por IP</w:t>
      </w:r>
      <w:r>
        <w:t xml:space="preserve"> — evita que un scraper o bot abusen del portal público de listado de propiedades</w:t>
      </w:r>
    </w:p>
    <w:p>
      <w:pPr>
        <w:spacing w:after="200"/>
      </w:pPr>
      <w:r>
        <w:t xml:space="preserve"> </w:t>
      </w:r>
    </w:p>
    <w:p>
      <w:pPr>
        <w:spacing w:after="120"/>
        <w:jc w:val="left"/>
      </w:pPr>
      <w:r>
        <w:t xml:space="preserve">Dado que el sistema maneja datos de clientes, contratos y transacciones inmobiliarias, este servicio es el primer escudo de defensa antes de que cualquier petición llegue a Nginx o a la API.</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Cloud CDN + Networking — Egress 30 GB/mes ($3/mes)</w:t>
      </w:r>
    </w:p>
    <w:p>
      <w:pPr>
        <w:spacing w:after="120"/>
        <w:jc w:val="left"/>
      </w:pPr>
      <w:r>
        <w:rPr>
          <w:b/>
          <w:bCs/>
        </w:rPr>
        <w:t xml:space="preserve">Qué es:</w:t>
      </w:r>
      <w:r>
        <w:t xml:space="preserve"> Red de distribución de contenido (CDN) de Google y costo de transferencia de datos salientes.</w:t>
      </w:r>
    </w:p>
    <w:p>
      <w:pPr>
        <w:spacing w:after="200"/>
      </w:pPr>
      <w:r>
        <w:t xml:space="preserve"> </w:t>
      </w:r>
    </w:p>
    <w:p>
      <w:pPr>
        <w:spacing w:after="120"/>
        <w:jc w:val="left"/>
      </w:pPr>
      <w:r>
        <w:rPr>
          <w:b/>
          <w:bCs/>
        </w:rPr>
        <w:t xml:space="preserve">Para qué se usa en GestPro:</w:t>
      </w:r>
      <w:r>
        <w:br/>
      </w:r>
      <w:r>
        <w:t xml:space="preserve">El CDN actúa en dos frentes:</w:t>
      </w:r>
    </w:p>
    <w:p>
      <w:pPr>
        <w:spacing w:after="200"/>
      </w:pPr>
      <w:r>
        <w:t xml:space="preserve"> </w:t>
      </w:r>
    </w:p>
    <w:p>
      <w:pPr>
        <w:spacing w:after="100"/>
        <w:ind w:start="20"/>
        <w:jc w:val="left"/>
      </w:pPr>
      <w:r>
        <w:t xml:space="preserve">1. </w:t>
      </w:r>
      <w:r>
        <w:rPr>
          <w:b/>
          <w:bCs/>
        </w:rPr>
        <w:t xml:space="preserve">Assets estáticos del CRM y del portal</w:t>
      </w:r>
      <w:r>
        <w:t xml:space="preserve"> (JS, CSS, fuentes, favicon) — se sirven desde el edge de Google más cercano al usuario final en lugar de desde la VM, reduciendo la latencia percibida y el consumo de CPU/ancho de banda de la instancia principal.</w:t>
      </w:r>
    </w:p>
    <w:p>
      <w:pPr>
        <w:spacing w:after="100"/>
        <w:ind w:start="20"/>
        <w:jc w:val="left"/>
      </w:pPr>
      <w:r>
        <w:t xml:space="preserve">2. </w:t>
      </w:r>
      <w:r>
        <w:rPr>
          <w:b/>
          <w:bCs/>
        </w:rPr>
        <w:t xml:space="preserve">Imágenes de propiedades almacenadas en Cloud Storage</w:t>
      </w:r>
      <w:r>
        <w:t xml:space="preserve"> — las fotos más solicitadas (listados populares del portal) se cachean en el CDN, de modo que solo el primer request va al bucket; los subsiguientes se resuelven desde el edge.</w:t>
      </w:r>
    </w:p>
    <w:p>
      <w:pPr>
        <w:spacing w:after="200"/>
      </w:pPr>
      <w:r>
        <w:t xml:space="preserve"> </w:t>
      </w:r>
    </w:p>
    <w:p>
      <w:pPr>
        <w:spacing w:after="120"/>
        <w:jc w:val="left"/>
      </w:pPr>
      <w:r>
        <w:t xml:space="preserve">Los 30 GB de egress estimados contemplan el tráfico del portal público (catálogo de propiedades con imágenes), respuestas de la API a la app móvil y descargas de brochures PDF.</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Resumen: cómo interactúan los componentes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Usuario / App Móvil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Cloud Armor (WAF / DDoS)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Cloud CDN ──► Cloud Storage (imágenes, PDFs, backups)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Compute Engine VM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Nginx (reverse proxy)         │    </w:t>
      </w:r>
      <w:r>
        <w:br/>
      </w:r>
      <w:r>
        <w:rPr>
          <w:rFonts w:ascii="Courier New" w:cs="Courier New" w:eastAsia="Courier New" w:hAnsi="Courier New"/>
          <w:color w:val="FFFFFF"/>
          <w:sz w:val="20"/>
          <w:szCs w:val="20"/>
        </w:rPr>
        <w:t xml:space="preserve">      │  ├─ CRM Web (React/Vite :80)  │    </w:t>
      </w:r>
      <w:r>
        <w:br/>
      </w:r>
      <w:r>
        <w:rPr>
          <w:rFonts w:ascii="Courier New" w:cs="Courier New" w:eastAsia="Courier New" w:hAnsi="Courier New"/>
          <w:color w:val="FFFFFF"/>
          <w:sz w:val="20"/>
          <w:szCs w:val="20"/>
        </w:rPr>
        <w:t xml:space="preserve">      │  ├─ Portal Next.js (:3001)    │    </w:t>
      </w:r>
      <w:r>
        <w:br/>
      </w:r>
      <w:r>
        <w:rPr>
          <w:rFonts w:ascii="Courier New" w:cs="Courier New" w:eastAsia="Courier New" w:hAnsi="Courier New"/>
          <w:color w:val="FFFFFF"/>
          <w:sz w:val="20"/>
          <w:szCs w:val="20"/>
        </w:rPr>
        <w:t xml:space="preserve">      │  └─ API NestJS (:3000)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Cloud SQL    Memorystore      │    </w:t>
      </w:r>
      <w:r>
        <w:br/>
      </w:r>
      <w:r>
        <w:rPr>
          <w:rFonts w:ascii="Courier New" w:cs="Courier New" w:eastAsia="Courier New" w:hAnsi="Courier New"/>
          <w:color w:val="FFFFFF"/>
          <w:sz w:val="20"/>
          <w:szCs w:val="20"/>
        </w:rPr>
        <w:t xml:space="preserve">      │  PostgreSQL   Redis            │    </w:t>
      </w:r>
      <w:r>
        <w:br/>
      </w:r>
      <w:r>
        <w:rPr>
          <w:rFonts w:ascii="Courier New" w:cs="Courier New" w:eastAsia="Courier New" w:hAnsi="Courier New"/>
          <w:color w:val="FFFFFF"/>
          <w:sz w:val="20"/>
          <w:szCs w:val="20"/>
        </w:rPr>
        <w:t xml:space="preserve">      │  (datos)      (colas + caché)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Persistent Disk SSD Datos    </w:t>
      </w:r>
      <w:r>
        <w:br/>
      </w:r>
      <w:r>
        <w:rPr>
          <w:rFonts w:ascii="Courier New" w:cs="Courier New" w:eastAsia="Courier New" w:hAnsi="Courier New"/>
          <w:color w:val="FFFFFF"/>
          <w:sz w:val="20"/>
          <w:szCs w:val="20"/>
        </w:rPr>
        <w:t xml:space="preserve">      (uploads, logs, caché temporal)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Cada servicio tiene una responsabilidad única y ninguno puede eliminarse del escenario recomendado sin degradar la funcionalidad o la seguridad del sistema.</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Última actualización: mayo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3.7 Infraestructura GCP — Comparativa de Configuraciones</w:t>
      </w:r>
    </w:p>
    <w:p>
      <w:pPr>
        <w:pStyle w:val="Heading3"/>
        <w:spacing w:after="200"/>
        <w:jc w:val="left"/>
      </w:pPr>
      <w:r>
        <w:t xml:space="preserve">Configuración mínima recomendada ($144/mes)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94"/>
        <w:gridCol w:w="2235"/>
        <w:gridCol w:w="2375"/>
        <w:gridCol w:w="1956"/>
      </w:tblGrid>
      <w:tr>
        <w:trPr>
          <w:tblHeader/>
        </w:trPr>
        <w:tc>
          <w:p>
            <w:pPr>
              <w:jc w:val="left"/>
            </w:pPr>
            <w:r>
              <w:rPr>
                <w:b/>
                <w:bCs/>
              </w:rPr>
              <w:t xml:space="preserve">Servicio GCP</w:t>
            </w:r>
          </w:p>
        </w:tc>
        <w:tc>
          <w:p>
            <w:pPr>
              <w:jc w:val="left"/>
            </w:pPr>
            <w:r>
              <w:rPr>
                <w:b/>
                <w:bCs/>
              </w:rPr>
              <w:t xml:space="preserve">Producto</w:t>
            </w:r>
          </w:p>
        </w:tc>
        <w:tc>
          <w:p>
            <w:pPr>
              <w:jc w:val="left"/>
            </w:pPr>
            <w:r>
              <w:rPr>
                <w:b/>
                <w:bCs/>
              </w:rPr>
              <w:t xml:space="preserve">Specs</w:t>
            </w:r>
          </w:p>
        </w:tc>
        <w:tc>
          <w:p>
            <w:pPr>
              <w:jc w:val="left"/>
            </w:pPr>
            <w:r>
              <w:rPr>
                <w:b/>
                <w:bCs/>
              </w:rPr>
              <w:t xml:space="preserve">Costo/mes</w:t>
            </w:r>
          </w:p>
        </w:tc>
      </w:tr>
      <w:tr>
        <w:tc>
          <w:p>
            <w:pPr>
              <w:jc w:val="left"/>
            </w:pPr>
            <w:r>
              <w:t xml:space="preserve">Compute Engine</w:t>
            </w:r>
          </w:p>
        </w:tc>
        <w:tc>
          <w:p>
            <w:pPr>
              <w:jc w:val="left"/>
            </w:pPr>
            <w:r>
              <w:t xml:space="preserve">e2-standard-2</w:t>
            </w:r>
          </w:p>
        </w:tc>
        <w:tc>
          <w:p>
            <w:pPr>
              <w:jc w:val="left"/>
            </w:pPr>
            <w:r>
              <w:t xml:space="preserve">2 vCPU / 8 GB RAM</w:t>
            </w:r>
          </w:p>
        </w:tc>
        <w:tc>
          <w:p>
            <w:pPr>
              <w:jc w:val="left"/>
            </w:pPr>
            <w:r>
              <w:t xml:space="preserve">$49</w:t>
            </w:r>
          </w:p>
        </w:tc>
      </w:tr>
      <w:tr>
        <w:tc>
          <w:p>
            <w:pPr>
              <w:jc w:val="left"/>
            </w:pPr>
            <w:r>
              <w:t xml:space="preserve">Persistent Disk Boot</w:t>
            </w:r>
          </w:p>
        </w:tc>
        <w:tc>
          <w:p>
            <w:pPr>
              <w:jc w:val="left"/>
            </w:pPr>
            <w:r>
              <w:t xml:space="preserve">SSD 40 GB</w:t>
            </w:r>
          </w:p>
        </w:tc>
        <w:tc>
          <w:p>
            <w:pPr>
              <w:jc w:val="left"/>
            </w:pPr>
            <w:r>
              <w:t xml:space="preserve">—</w:t>
            </w:r>
          </w:p>
        </w:tc>
        <w:tc>
          <w:p>
            <w:pPr>
              <w:jc w:val="left"/>
            </w:pPr>
            <w:r>
              <w:t xml:space="preserve">$7</w:t>
            </w:r>
          </w:p>
        </w:tc>
      </w:tr>
      <w:tr>
        <w:tc>
          <w:p>
            <w:pPr>
              <w:jc w:val="left"/>
            </w:pPr>
            <w:r>
              <w:t xml:space="preserve">Persistent Disk Datos</w:t>
            </w:r>
          </w:p>
        </w:tc>
        <w:tc>
          <w:p>
            <w:pPr>
              <w:jc w:val="left"/>
            </w:pPr>
            <w:r>
              <w:t xml:space="preserve">SSD 100 GB</w:t>
            </w:r>
          </w:p>
        </w:tc>
        <w:tc>
          <w:p>
            <w:pPr>
              <w:jc w:val="left"/>
            </w:pPr>
            <w:r>
              <w:t xml:space="preserve">Volumen separado</w:t>
            </w:r>
          </w:p>
        </w:tc>
        <w:tc>
          <w:p>
            <w:pPr>
              <w:jc w:val="left"/>
            </w:pPr>
            <w:r>
              <w:t xml:space="preserve">$17</w:t>
            </w:r>
          </w:p>
        </w:tc>
      </w:tr>
      <w:tr>
        <w:tc>
          <w:p>
            <w:pPr>
              <w:jc w:val="left"/>
            </w:pPr>
            <w:r>
              <w:t xml:space="preserve">Cloud SQL for PostgreSQL</w:t>
            </w:r>
          </w:p>
        </w:tc>
        <w:tc>
          <w:p>
            <w:pPr>
              <w:jc w:val="left"/>
            </w:pPr>
            <w:r>
              <w:t xml:space="preserve">db-g1-small</w:t>
            </w:r>
          </w:p>
        </w:tc>
        <w:tc>
          <w:p>
            <w:pPr>
              <w:jc w:val="left"/>
            </w:pPr>
            <w:r>
              <w:t xml:space="preserve">1 vCPU / 1.7 GB</w:t>
            </w:r>
          </w:p>
        </w:tc>
        <w:tc>
          <w:p>
            <w:pPr>
              <w:jc w:val="left"/>
            </w:pPr>
            <w:r>
              <w:t xml:space="preserve">$26</w:t>
            </w:r>
          </w:p>
        </w:tc>
      </w:tr>
      <w:tr>
        <w:tc>
          <w:p>
            <w:pPr>
              <w:jc w:val="left"/>
            </w:pPr>
            <w:r>
              <w:t xml:space="preserve">Memorystore for Redis</w:t>
            </w:r>
          </w:p>
        </w:tc>
        <w:tc>
          <w:p>
            <w:pPr>
              <w:jc w:val="left"/>
            </w:pPr>
            <w:r>
              <w:t xml:space="preserve">Basic 1 GB</w:t>
            </w:r>
          </w:p>
        </w:tc>
        <w:tc>
          <w:p>
            <w:pPr>
              <w:jc w:val="left"/>
            </w:pPr>
            <w:r>
              <w:t xml:space="preserve">Instancia regional</w:t>
            </w:r>
          </w:p>
        </w:tc>
        <w:tc>
          <w:p>
            <w:pPr>
              <w:jc w:val="left"/>
            </w:pPr>
            <w:r>
              <w:t xml:space="preserve">$35</w:t>
            </w:r>
          </w:p>
        </w:tc>
      </w:tr>
      <w:tr>
        <w:tc>
          <w:p>
            <w:pPr>
              <w:jc w:val="left"/>
            </w:pPr>
            <w:r>
              <w:t xml:space="preserve">Cloud Storage</w:t>
            </w:r>
          </w:p>
        </w:tc>
        <w:tc>
          <w:p>
            <w:pPr>
              <w:jc w:val="left"/>
            </w:pPr>
            <w:r>
              <w:t xml:space="preserve">Standard 100 GB</w:t>
            </w:r>
          </w:p>
        </w:tc>
        <w:tc>
          <w:p>
            <w:pPr>
              <w:jc w:val="left"/>
            </w:pPr>
            <w:r>
              <w:t xml:space="preserve">Uploads + backups</w:t>
            </w:r>
          </w:p>
        </w:tc>
        <w:tc>
          <w:p>
            <w:pPr>
              <w:jc w:val="left"/>
            </w:pPr>
            <w:r>
              <w:t xml:space="preserve">$2</w:t>
            </w:r>
          </w:p>
        </w:tc>
      </w:tr>
      <w:tr>
        <w:tc>
          <w:p>
            <w:pPr>
              <w:jc w:val="left"/>
            </w:pPr>
            <w:r>
              <w:t xml:space="preserve">Cloud Armor WAF</w:t>
            </w:r>
          </w:p>
        </w:tc>
        <w:tc>
          <w:p>
            <w:pPr>
              <w:jc w:val="left"/>
            </w:pPr>
            <w:r>
              <w:t xml:space="preserve">Pay-as-you-go</w:t>
            </w:r>
          </w:p>
        </w:tc>
        <w:tc>
          <w:p>
            <w:pPr>
              <w:jc w:val="left"/>
            </w:pPr>
            <w:r>
              <w:t xml:space="preserve">—</w:t>
            </w:r>
          </w:p>
        </w:tc>
        <w:tc>
          <w:p>
            <w:pPr>
              <w:jc w:val="left"/>
            </w:pPr>
            <w:r>
              <w:t xml:space="preserve">$5</w:t>
            </w:r>
          </w:p>
        </w:tc>
      </w:tr>
      <w:tr>
        <w:tc>
          <w:p>
            <w:pPr>
              <w:jc w:val="left"/>
            </w:pPr>
            <w:r>
              <w:t xml:space="preserve">Cloud CDN + Networking</w:t>
            </w:r>
          </w:p>
        </w:tc>
        <w:tc>
          <w:p>
            <w:pPr>
              <w:jc w:val="left"/>
            </w:pPr>
            <w:r>
              <w:t xml:space="preserve">Egress 30 GB/mes</w:t>
            </w:r>
          </w:p>
        </w:tc>
        <w:tc>
          <w:p>
            <w:pPr>
              <w:jc w:val="left"/>
            </w:pPr>
            <w:r>
              <w:t xml:space="preserve">—</w:t>
            </w:r>
          </w:p>
        </w:tc>
        <w:tc>
          <w:p>
            <w:pPr>
              <w:jc w:val="left"/>
            </w:pPr>
            <w:r>
              <w:t xml:space="preserve">$3</w:t>
            </w:r>
          </w:p>
        </w:tc>
      </w:tr>
      <w:tr>
        <w:tc>
          <w:p>
            <w:pPr>
              <w:jc w:val="left"/>
            </w:pPr>
            <w:r>
              <w:rPr>
                <w:b/>
                <w:bCs/>
              </w:rPr>
              <w:t xml:space="preserve">Total mínimo</w:t>
            </w:r>
          </w:p>
        </w:tc>
        <w:tc>
          <w:p>
            <w:pPr>
              <w:jc w:val="left"/>
            </w:pPr>
          </w:p>
        </w:tc>
        <w:tc>
          <w:p>
            <w:pPr>
              <w:jc w:val="left"/>
            </w:pPr>
          </w:p>
        </w:tc>
        <w:tc>
          <w:p>
            <w:pPr>
              <w:jc w:val="left"/>
            </w:pPr>
            <w:r>
              <w:rPr>
                <w:b/>
                <w:bCs/>
              </w:rPr>
              <w:t xml:space="preserve">$144/mes</w:t>
            </w:r>
          </w:p>
        </w:tc>
      </w:tr>
    </w:tbl>
    <w:p>
      <w:pPr>
        <w:spacing w:before="240"/>
      </w:pPr>
      <w:r>
        <w:t xml:space="preserve"> </w:t>
      </w:r>
    </w:p>
    <w:p>
      <w:pPr>
        <w:pStyle w:val="Heading3"/>
        <w:spacing w:after="200"/>
        <w:jc w:val="left"/>
      </w:pPr>
      <w:r>
        <w:t xml:space="preserve">Configuración para operación adecuada ($354/mes)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11"/>
        <w:gridCol w:w="1964"/>
        <w:gridCol w:w="1964"/>
        <w:gridCol w:w="1618"/>
        <w:gridCol w:w="1503"/>
      </w:tblGrid>
      <w:tr>
        <w:trPr>
          <w:tblHeader/>
        </w:trPr>
        <w:tc>
          <w:p>
            <w:pPr>
              <w:jc w:val="left"/>
            </w:pPr>
            <w:r>
              <w:rPr>
                <w:b/>
                <w:bCs/>
              </w:rPr>
              <w:t xml:space="preserve">Servicio GCP</w:t>
            </w:r>
          </w:p>
        </w:tc>
        <w:tc>
          <w:p>
            <w:pPr>
              <w:jc w:val="left"/>
            </w:pPr>
            <w:r>
              <w:rPr>
                <w:b/>
                <w:bCs/>
              </w:rPr>
              <w:t xml:space="preserve">Producto</w:t>
            </w:r>
          </w:p>
        </w:tc>
        <w:tc>
          <w:p>
            <w:pPr>
              <w:jc w:val="left"/>
            </w:pPr>
            <w:r>
              <w:rPr>
                <w:b/>
                <w:bCs/>
              </w:rPr>
              <w:t xml:space="preserve">Specs</w:t>
            </w:r>
          </w:p>
        </w:tc>
        <w:tc>
          <w:p>
            <w:pPr>
              <w:jc w:val="left"/>
            </w:pPr>
            <w:r>
              <w:rPr>
                <w:b/>
                <w:bCs/>
              </w:rPr>
              <w:t xml:space="preserve">Costo/mes</w:t>
            </w:r>
          </w:p>
        </w:tc>
        <w:tc>
          <w:p>
            <w:pPr>
              <w:jc w:val="left"/>
            </w:pPr>
            <w:r>
              <w:rPr>
                <w:b/>
                <w:bCs/>
              </w:rPr>
              <w:t xml:space="preserve">vs Mínimo</w:t>
            </w:r>
          </w:p>
        </w:tc>
      </w:tr>
      <w:tr>
        <w:tc>
          <w:p>
            <w:pPr>
              <w:jc w:val="left"/>
            </w:pPr>
            <w:r>
              <w:t xml:space="preserve">Compute Engine</w:t>
            </w:r>
          </w:p>
        </w:tc>
        <w:tc>
          <w:p>
            <w:pPr>
              <w:jc w:val="left"/>
            </w:pPr>
            <w:r>
              <w:t xml:space="preserve">e2-standard-4</w:t>
            </w:r>
          </w:p>
        </w:tc>
        <w:tc>
          <w:p>
            <w:pPr>
              <w:jc w:val="left"/>
            </w:pPr>
            <w:r>
              <w:t xml:space="preserve">4 vCPU / 16 GB RAM</w:t>
            </w:r>
          </w:p>
        </w:tc>
        <w:tc>
          <w:p>
            <w:pPr>
              <w:jc w:val="left"/>
            </w:pPr>
            <w:r>
              <w:t xml:space="preserve">$98</w:t>
            </w:r>
          </w:p>
        </w:tc>
        <w:tc>
          <w:p>
            <w:pPr>
              <w:jc w:val="left"/>
            </w:pPr>
            <w:r>
              <w:t xml:space="preserve">+$49</w:t>
            </w:r>
          </w:p>
        </w:tc>
      </w:tr>
      <w:tr>
        <w:tc>
          <w:p>
            <w:pPr>
              <w:jc w:val="left"/>
            </w:pPr>
            <w:r>
              <w:t xml:space="preserve">Persistent Disk Boot</w:t>
            </w:r>
          </w:p>
        </w:tc>
        <w:tc>
          <w:p>
            <w:pPr>
              <w:jc w:val="left"/>
            </w:pPr>
            <w:r>
              <w:t xml:space="preserve">SSD 50 GB</w:t>
            </w:r>
          </w:p>
        </w:tc>
        <w:tc>
          <w:p>
            <w:pPr>
              <w:jc w:val="left"/>
            </w:pPr>
            <w:r>
              <w:t xml:space="preserve">—</w:t>
            </w:r>
          </w:p>
        </w:tc>
        <w:tc>
          <w:p>
            <w:pPr>
              <w:jc w:val="left"/>
            </w:pPr>
            <w:r>
              <w:t xml:space="preserve">$8</w:t>
            </w:r>
          </w:p>
        </w:tc>
        <w:tc>
          <w:p>
            <w:pPr>
              <w:jc w:val="left"/>
            </w:pPr>
            <w:r>
              <w:t xml:space="preserve">+$1</w:t>
            </w:r>
          </w:p>
        </w:tc>
      </w:tr>
      <w:tr>
        <w:tc>
          <w:p>
            <w:pPr>
              <w:jc w:val="left"/>
            </w:pPr>
            <w:r>
              <w:t xml:space="preserve">Persistent Disk Datos</w:t>
            </w:r>
          </w:p>
        </w:tc>
        <w:tc>
          <w:p>
            <w:pPr>
              <w:jc w:val="left"/>
            </w:pPr>
            <w:r>
              <w:t xml:space="preserve">SSD 200 GB</w:t>
            </w:r>
          </w:p>
        </w:tc>
        <w:tc>
          <w:p>
            <w:pPr>
              <w:jc w:val="left"/>
            </w:pPr>
            <w:r>
              <w:t xml:space="preserve">Volumen separado</w:t>
            </w:r>
          </w:p>
        </w:tc>
        <w:tc>
          <w:p>
            <w:pPr>
              <w:jc w:val="left"/>
            </w:pPr>
            <w:r>
              <w:t xml:space="preserve">$34</w:t>
            </w:r>
          </w:p>
        </w:tc>
        <w:tc>
          <w:p>
            <w:pPr>
              <w:jc w:val="left"/>
            </w:pPr>
            <w:r>
              <w:t xml:space="preserve">+$17</w:t>
            </w:r>
          </w:p>
        </w:tc>
      </w:tr>
      <w:tr>
        <w:tc>
          <w:p>
            <w:pPr>
              <w:jc w:val="left"/>
            </w:pPr>
            <w:r>
              <w:t xml:space="preserve">Cloud SQL for PostgreSQL</w:t>
            </w:r>
          </w:p>
        </w:tc>
        <w:tc>
          <w:p>
            <w:pPr>
              <w:jc w:val="left"/>
            </w:pPr>
            <w:r>
              <w:t xml:space="preserve">db-n1-standard-2</w:t>
            </w:r>
          </w:p>
        </w:tc>
        <w:tc>
          <w:p>
            <w:pPr>
              <w:jc w:val="left"/>
            </w:pPr>
            <w:r>
              <w:t xml:space="preserve">2 vCPU / 7.5 GB</w:t>
            </w:r>
          </w:p>
        </w:tc>
        <w:tc>
          <w:p>
            <w:pPr>
              <w:jc w:val="left"/>
            </w:pPr>
            <w:r>
              <w:t xml:space="preserve">$92</w:t>
            </w:r>
          </w:p>
        </w:tc>
        <w:tc>
          <w:p>
            <w:pPr>
              <w:jc w:val="left"/>
            </w:pPr>
            <w:r>
              <w:t xml:space="preserve">+$66</w:t>
            </w:r>
          </w:p>
        </w:tc>
      </w:tr>
      <w:tr>
        <w:tc>
          <w:p>
            <w:pPr>
              <w:jc w:val="left"/>
            </w:pPr>
            <w:r>
              <w:t xml:space="preserve">Memorystore for Redis</w:t>
            </w:r>
          </w:p>
        </w:tc>
        <w:tc>
          <w:p>
            <w:pPr>
              <w:jc w:val="left"/>
            </w:pPr>
            <w:r>
              <w:t xml:space="preserve">Basic 2 GB</w:t>
            </w:r>
          </w:p>
        </w:tc>
        <w:tc>
          <w:p>
            <w:pPr>
              <w:jc w:val="left"/>
            </w:pPr>
            <w:r>
              <w:t xml:space="preserve">Regional</w:t>
            </w:r>
          </w:p>
        </w:tc>
        <w:tc>
          <w:p>
            <w:pPr>
              <w:jc w:val="left"/>
            </w:pPr>
            <w:r>
              <w:t xml:space="preserve">$71</w:t>
            </w:r>
          </w:p>
        </w:tc>
        <w:tc>
          <w:p>
            <w:pPr>
              <w:jc w:val="left"/>
            </w:pPr>
            <w:r>
              <w:t xml:space="preserve">+$36</w:t>
            </w:r>
          </w:p>
        </w:tc>
      </w:tr>
      <w:tr>
        <w:tc>
          <w:p>
            <w:pPr>
              <w:jc w:val="left"/>
            </w:pPr>
            <w:r>
              <w:t xml:space="preserve">Cloud Storage</w:t>
            </w:r>
          </w:p>
        </w:tc>
        <w:tc>
          <w:p>
            <w:pPr>
              <w:jc w:val="left"/>
            </w:pPr>
            <w:r>
              <w:t xml:space="preserve">Standard 250 GB</w:t>
            </w:r>
          </w:p>
        </w:tc>
        <w:tc>
          <w:p>
            <w:pPr>
              <w:jc w:val="left"/>
            </w:pPr>
            <w:r>
              <w:t xml:space="preserve">Uploads + backups</w:t>
            </w:r>
          </w:p>
        </w:tc>
        <w:tc>
          <w:p>
            <w:pPr>
              <w:jc w:val="left"/>
            </w:pPr>
            <w:r>
              <w:t xml:space="preserve">$5</w:t>
            </w:r>
          </w:p>
        </w:tc>
        <w:tc>
          <w:p>
            <w:pPr>
              <w:jc w:val="left"/>
            </w:pPr>
            <w:r>
              <w:t xml:space="preserve">+$3</w:t>
            </w:r>
          </w:p>
        </w:tc>
      </w:tr>
      <w:tr>
        <w:tc>
          <w:p>
            <w:pPr>
              <w:jc w:val="left"/>
            </w:pPr>
            <w:r>
              <w:t xml:space="preserve">Cloud Armor WAF</w:t>
            </w:r>
          </w:p>
        </w:tc>
        <w:tc>
          <w:p>
            <w:pPr>
              <w:jc w:val="left"/>
            </w:pPr>
            <w:r>
              <w:t xml:space="preserve">Standard tier</w:t>
            </w:r>
          </w:p>
        </w:tc>
        <w:tc>
          <w:p>
            <w:pPr>
              <w:jc w:val="left"/>
            </w:pPr>
            <w:r>
              <w:t xml:space="preserve">—</w:t>
            </w:r>
          </w:p>
        </w:tc>
        <w:tc>
          <w:p>
            <w:pPr>
              <w:jc w:val="left"/>
            </w:pPr>
            <w:r>
              <w:t xml:space="preserve">$10</w:t>
            </w:r>
          </w:p>
        </w:tc>
        <w:tc>
          <w:p>
            <w:pPr>
              <w:jc w:val="left"/>
            </w:pPr>
            <w:r>
              <w:t xml:space="preserve">+$5</w:t>
            </w:r>
          </w:p>
        </w:tc>
      </w:tr>
      <w:tr>
        <w:tc>
          <w:p>
            <w:pPr>
              <w:jc w:val="left"/>
            </w:pPr>
            <w:r>
              <w:t xml:space="preserve">Cloud CDN + Networking</w:t>
            </w:r>
          </w:p>
        </w:tc>
        <w:tc>
          <w:p>
            <w:pPr>
              <w:jc w:val="left"/>
            </w:pPr>
            <w:r>
              <w:t xml:space="preserve">Egress 100 GB/mes</w:t>
            </w:r>
          </w:p>
        </w:tc>
        <w:tc>
          <w:p>
            <w:pPr>
              <w:jc w:val="left"/>
            </w:pPr>
            <w:r>
              <w:t xml:space="preserve">—</w:t>
            </w:r>
          </w:p>
        </w:tc>
        <w:tc>
          <w:p>
            <w:pPr>
              <w:jc w:val="left"/>
            </w:pPr>
            <w:r>
              <w:t xml:space="preserve">$8</w:t>
            </w:r>
          </w:p>
        </w:tc>
        <w:tc>
          <w:p>
            <w:pPr>
              <w:jc w:val="left"/>
            </w:pPr>
            <w:r>
              <w:t xml:space="preserve">+$5</w:t>
            </w:r>
          </w:p>
        </w:tc>
      </w:tr>
      <w:tr>
        <w:tc>
          <w:p>
            <w:pPr>
              <w:jc w:val="left"/>
            </w:pPr>
            <w:r>
              <w:t xml:space="preserve">Cloud Load Balancing</w:t>
            </w:r>
          </w:p>
        </w:tc>
        <w:tc>
          <w:p>
            <w:pPr>
              <w:jc w:val="left"/>
            </w:pPr>
            <w:r>
              <w:t xml:space="preserve">HTTP(S) Global</w:t>
            </w:r>
          </w:p>
        </w:tc>
        <w:tc>
          <w:p>
            <w:pPr>
              <w:jc w:val="left"/>
            </w:pPr>
            <w:r>
              <w:t xml:space="preserve">—</w:t>
            </w:r>
          </w:p>
        </w:tc>
        <w:tc>
          <w:p>
            <w:pPr>
              <w:jc w:val="left"/>
            </w:pPr>
            <w:r>
              <w:t xml:space="preserve">$18</w:t>
            </w:r>
          </w:p>
        </w:tc>
        <w:tc>
          <w:p>
            <w:pPr>
              <w:jc w:val="left"/>
            </w:pPr>
            <w:r>
              <w:t xml:space="preserve">+$18</w:t>
            </w:r>
          </w:p>
        </w:tc>
      </w:tr>
      <w:tr>
        <w:tc>
          <w:p>
            <w:pPr>
              <w:jc w:val="left"/>
            </w:pPr>
            <w:r>
              <w:t xml:space="preserve">Cloud Monitoring</w:t>
            </w:r>
          </w:p>
        </w:tc>
        <w:tc>
          <w:p>
            <w:pPr>
              <w:jc w:val="left"/>
            </w:pPr>
            <w:r>
              <w:t xml:space="preserve">Ops Suite básico</w:t>
            </w:r>
          </w:p>
        </w:tc>
        <w:tc>
          <w:p>
            <w:pPr>
              <w:jc w:val="left"/>
            </w:pPr>
            <w:r>
              <w:t xml:space="preserve">Logs + alertas</w:t>
            </w:r>
          </w:p>
        </w:tc>
        <w:tc>
          <w:p>
            <w:pPr>
              <w:jc w:val="left"/>
            </w:pPr>
            <w:r>
              <w:t xml:space="preserve">$10</w:t>
            </w:r>
          </w:p>
        </w:tc>
        <w:tc>
          <w:p>
            <w:pPr>
              <w:jc w:val="left"/>
            </w:pPr>
            <w:r>
              <w:t xml:space="preserve">+$10</w:t>
            </w:r>
          </w:p>
        </w:tc>
      </w:tr>
      <w:tr>
        <w:tc>
          <w:p>
            <w:pPr>
              <w:jc w:val="left"/>
            </w:pPr>
            <w:r>
              <w:rPr>
                <w:b/>
                <w:bCs/>
              </w:rPr>
              <w:t xml:space="preserve">Total adecuado</w:t>
            </w:r>
          </w:p>
        </w:tc>
        <w:tc>
          <w:p>
            <w:pPr>
              <w:jc w:val="left"/>
            </w:pPr>
          </w:p>
        </w:tc>
        <w:tc>
          <w:p>
            <w:pPr>
              <w:jc w:val="left"/>
            </w:pPr>
          </w:p>
        </w:tc>
        <w:tc>
          <w:p>
            <w:pPr>
              <w:jc w:val="left"/>
            </w:pPr>
            <w:r>
              <w:rPr>
                <w:b/>
                <w:bCs/>
              </w:rPr>
              <w:t xml:space="preserve">$354/mes</w:t>
            </w:r>
          </w:p>
        </w:tc>
        <w:tc>
          <w:p>
            <w:pPr>
              <w:jc w:val="left"/>
            </w:pPr>
            <w:r>
              <w:rPr>
                <w:b/>
                <w:bCs/>
              </w:rPr>
              <w:t xml:space="preserve">+$210</w:t>
            </w:r>
          </w:p>
        </w:tc>
      </w:tr>
    </w:tbl>
    <w:p>
      <w:pPr>
        <w:spacing w:before="240"/>
      </w:pPr>
      <w:r>
        <w:t xml:space="preserve"> </w:t>
      </w:r>
    </w:p>
    <w:p>
      <w:pPr>
        <w:pStyle w:val="Heading3"/>
        <w:spacing w:after="200"/>
        <w:jc w:val="left"/>
      </w:pPr>
      <w:r>
        <w:t xml:space="preserve">Justificación de upgrades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94"/>
        <w:gridCol w:w="6566"/>
      </w:tblGrid>
      <w:tr>
        <w:trPr>
          <w:tblHeader/>
        </w:trPr>
        <w:tc>
          <w:p>
            <w:pPr>
              <w:jc w:val="left"/>
            </w:pPr>
            <w:r>
              <w:rPr>
                <w:b/>
                <w:bCs/>
              </w:rPr>
              <w:t xml:space="preserve">Componente</w:t>
            </w:r>
          </w:p>
        </w:tc>
        <w:tc>
          <w:p>
            <w:pPr>
              <w:jc w:val="left"/>
            </w:pPr>
            <w:r>
              <w:rPr>
                <w:b/>
                <w:bCs/>
              </w:rPr>
              <w:t xml:space="preserve">Razón del upgrade</w:t>
            </w:r>
          </w:p>
        </w:tc>
      </w:tr>
      <w:tr>
        <w:tc>
          <w:p>
            <w:pPr>
              <w:jc w:val="left"/>
            </w:pPr>
            <w:r>
              <w:rPr>
                <w:b/>
                <w:bCs/>
              </w:rPr>
              <w:t xml:space="preserve">Compute ×2</w:t>
            </w:r>
          </w:p>
        </w:tc>
        <w:tc>
          <w:p>
            <w:pPr>
              <w:jc w:val="left"/>
            </w:pPr>
            <w:r>
              <w:t xml:space="preserve">NestJS API + React web + Next.js portal + BullMQ workers corren simultáneamente; 20–40 clientes concurrentes requieren margen de CPU/RAM</w:t>
            </w:r>
          </w:p>
        </w:tc>
      </w:tr>
      <w:tr>
        <w:tc>
          <w:p>
            <w:pPr>
              <w:jc w:val="left"/>
            </w:pPr>
            <w:r>
              <w:rPr>
                <w:b/>
                <w:bCs/>
              </w:rPr>
              <w:t xml:space="preserve">Cloud SQL ×8 RAM</w:t>
            </w:r>
          </w:p>
        </w:tc>
        <w:tc>
          <w:p>
            <w:pPr>
              <w:jc w:val="left"/>
            </w:pPr>
            <w:r>
              <w:t xml:space="preserve">Las políticas RLS (</w:t>
            </w:r>
            <w:r>
              <w:rPr>
                <w:rFonts w:ascii="Courier New" w:cs="Courier New" w:eastAsia="Courier New" w:hAnsi="Courier New"/>
                <w:shd w:fill="F1F5F9" w:color="auto" w:val="clear"/>
              </w:rPr>
              <w:t xml:space="preserve">SET app.tenant_id</w:t>
            </w:r>
            <w:r>
              <w:t xml:space="preserve">) añaden overhead por query; 7.5 GB de RAM permiten un buffer pool adecuado en PostgreSQL 16</w:t>
            </w:r>
          </w:p>
        </w:tc>
      </w:tr>
      <w:tr>
        <w:tc>
          <w:p>
            <w:pPr>
              <w:jc w:val="left"/>
            </w:pPr>
            <w:r>
              <w:rPr>
                <w:b/>
                <w:bCs/>
              </w:rPr>
              <w:t xml:space="preserve">Redis 1→2 GB</w:t>
            </w:r>
          </w:p>
        </w:tc>
        <w:tc>
          <w:p>
            <w:pPr>
              <w:jc w:val="left"/>
            </w:pPr>
            <w:r>
              <w:t xml:space="preserve">Colas BullMQ (generación de brochures PDF) + caché BI por tenant (</w:t>
            </w:r>
            <w:r>
              <w:rPr>
                <w:rFonts w:ascii="Courier New" w:cs="Courier New" w:eastAsia="Courier New" w:hAnsi="Courier New"/>
                <w:shd w:fill="F1F5F9" w:color="auto" w:val="clear"/>
              </w:rPr>
              <w:t xml:space="preserve">bi:&lt;tenantId&gt;:*</w:t>
            </w:r>
            <w:r>
              <w:t xml:space="preserve">) crecen con el número de tenants activos</w:t>
            </w:r>
          </w:p>
        </w:tc>
      </w:tr>
      <w:tr>
        <w:tc>
          <w:p>
            <w:pPr>
              <w:jc w:val="left"/>
            </w:pPr>
            <w:r>
              <w:rPr>
                <w:b/>
                <w:bCs/>
              </w:rPr>
              <w:t xml:space="preserve">Storage 100→250 GB</w:t>
            </w:r>
          </w:p>
        </w:tc>
        <w:tc>
          <w:p>
            <w:pPr>
              <w:jc w:val="left"/>
            </w:pPr>
            <w:r>
              <w:t xml:space="preserve">Imágenes comprimidas de propiedades + brochures PDF generados + backups diarios de base de datos</w:t>
            </w:r>
          </w:p>
        </w:tc>
      </w:tr>
      <w:tr>
        <w:tc>
          <w:p>
            <w:pPr>
              <w:jc w:val="left"/>
            </w:pPr>
            <w:r>
              <w:rPr>
                <w:b/>
                <w:bCs/>
              </w:rPr>
              <w:t xml:space="preserve">Load Balancer</w:t>
            </w:r>
          </w:p>
        </w:tc>
        <w:tc>
          <w:p>
            <w:pPr>
              <w:jc w:val="left"/>
            </w:pPr>
            <w:r>
              <w:t xml:space="preserve">Permite escalar a 2 instancias sin downtime; requerido para certificados SSL gestionados en GCP</w:t>
            </w:r>
          </w:p>
        </w:tc>
      </w:tr>
      <w:tr>
        <w:tc>
          <w:p>
            <w:pPr>
              <w:jc w:val="left"/>
            </w:pPr>
            <w:r>
              <w:rPr>
                <w:b/>
                <w:bCs/>
              </w:rPr>
              <w:t xml:space="preserve">Monitoring</w:t>
            </w:r>
          </w:p>
        </w:tc>
        <w:tc>
          <w:p>
            <w:pPr>
              <w:jc w:val="left"/>
            </w:pPr>
            <w:r>
              <w:t xml:space="preserve">Alertas de CPU/RAM/conexiones DB; indispensable para mantener SLA en producción</w:t>
            </w:r>
          </w:p>
        </w:tc>
      </w:tr>
    </w:tbl>
    <w:p>
      <w:pPr>
        <w:spacing w:before="240"/>
      </w:pPr>
      <w:r>
        <w:t xml:space="preserve"> </w:t>
      </w:r>
    </w:p>
    <w:p>
      <w:pPr>
        <w:pStyle w:val="Heading3"/>
        <w:spacing w:after="200"/>
        <w:jc w:val="left"/>
      </w:pPr>
      <w:r>
        <w:t xml:space="preserve">Impacto en el modelo financiero</w:t>
      </w:r>
    </w:p>
    <w:p>
      <w:pPr>
        <w:pBdr>
          <w:left w:val="single" w:color="BFBFBF" w:sz="12" w:space="200"/>
        </w:pBdr>
        <w:spacing w:after="120"/>
        <w:ind w:start="300"/>
        <w:jc w:val="left"/>
      </w:pPr>
      <w:r>
        <w:t xml:space="preserve">El costo de mantenimiento anual se recalcula con la configuración adecuada: </w:t>
      </w:r>
      <m:oMath>
        <m:r>
          <m:t xml:space="preserve">354</m:t>
        </m:r>
        <m:r>
          <w:rPr/>
          <m:rPr>
            <m:nor/>
            <m:sty m:val="undefined"/>
          </m:rPr>
          <m:t xml:space="preserve">/</m:t>
        </m:r>
        <m:r>
          <m:t xml:space="preserve">mes×12=</m:t>
        </m:r>
      </m:oMath>
      <w:r>
        <w:rPr>
          <w:b/>
          <w:bCs/>
        </w:rPr>
        <w:t xml:space="preserve">4,248/año</w:t>
      </w:r>
      <w:r>
        <w:t xml:space="preserve"> (vs </w:t>
      </w:r>
      <m:oMath>
        <m:r>
          <m:t xml:space="preserve">1,728</m:t>
        </m:r>
        <m:r>
          <w:rPr/>
          <m:rPr>
            <m:nor/>
            <m:sty m:val="undefined"/>
          </m:rPr>
          <m:t xml:space="preserve">/</m:t>
        </m:r>
        <m:r>
          <m:t xml:space="preserve">a</m:t>
        </m:r>
        <m:acc>
          <m:accPr>
            <m:chr m:val="̃"/>
          </m:accPr>
          <m:e>
            <m:r>
              <m:t xml:space="preserve">n</m:t>
            </m:r>
          </m:e>
        </m:acc>
        <m:r>
          <m:t xml:space="preserve">oenconfiguraci</m:t>
        </m:r>
        <m:acc>
          <m:accPr>
            <m:chr m:val="ˊ"/>
          </m:accPr>
          <m:e>
            <m:r>
              <m:t xml:space="preserve">o</m:t>
            </m:r>
          </m:e>
        </m:acc>
        <m:r>
          <m:t xml:space="preserve">nm</m:t>
        </m:r>
        <m:acc>
          <m:accPr>
            <m:chr m:val="ˊ"/>
          </m:accPr>
          <m:e>
            <m:r>
              <w:rPr/>
              <m:rPr>
                <m:nor/>
                <m:sty m:val="undefined"/>
              </m:rPr>
              <m:t xml:space="preserve">ı</m:t>
            </m:r>
          </m:e>
        </m:acc>
        <m:r>
          <m:t xml:space="preserve">nima,diferenciade+</m:t>
        </m:r>
      </m:oMath>
      <w:r>
        <w:t xml:space="preserve">2,520/año).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24"/>
        <w:gridCol w:w="2024"/>
        <w:gridCol w:w="2024"/>
        <w:gridCol w:w="3288"/>
      </w:tblGrid>
      <w:tr>
        <w:trPr>
          <w:tblHeader/>
        </w:trPr>
        <w:tc>
          <w:p>
            <w:pPr>
              <w:jc w:val="left"/>
            </w:pPr>
            <w:r>
              <w:rPr>
                <w:b/>
                <w:bCs/>
              </w:rPr>
              <w:t xml:space="preserve">Escenario infra</w:t>
            </w:r>
          </w:p>
        </w:tc>
        <w:tc>
          <w:p>
            <w:pPr>
              <w:jc w:val="left"/>
            </w:pPr>
            <w:r>
              <w:rPr>
                <w:b/>
                <w:bCs/>
              </w:rPr>
              <w:t xml:space="preserve">Costo infra/mes</w:t>
            </w:r>
          </w:p>
        </w:tc>
        <w:tc>
          <w:p>
            <w:pPr>
              <w:jc w:val="left"/>
            </w:pPr>
            <w:r>
              <w:rPr>
                <w:b/>
                <w:bCs/>
              </w:rPr>
              <w:t xml:space="preserve">Costo infra/año</w:t>
            </w:r>
          </w:p>
        </w:tc>
        <w:tc>
          <w:p>
            <w:pPr>
              <w:jc w:val="left"/>
            </w:pPr>
            <w:r>
              <w:rPr>
                <w:b/>
                <w:bCs/>
              </w:rPr>
              <w:t xml:space="preserve">Clientes mínimos para cubrir solo infra</w:t>
            </w:r>
          </w:p>
        </w:tc>
      </w:tr>
      <w:tr>
        <w:tc>
          <w:p>
            <w:pPr>
              <w:jc w:val="left"/>
            </w:pPr>
            <w:r>
              <w:t xml:space="preserve">Mínimo</w:t>
            </w:r>
          </w:p>
        </w:tc>
        <w:tc>
          <w:p>
            <w:pPr>
              <w:jc w:val="left"/>
            </w:pPr>
            <w:r>
              <w:t xml:space="preserve">$144</w:t>
            </w:r>
          </w:p>
        </w:tc>
        <w:tc>
          <w:p>
            <w:pPr>
              <w:jc w:val="left"/>
            </w:pPr>
            <w:r>
              <w:t xml:space="preserve">$1,728</w:t>
            </w:r>
          </w:p>
        </w:tc>
        <w:tc>
          <w:p>
            <w:pPr>
              <w:jc w:val="left"/>
            </w:pPr>
            <w:r>
              <w:t xml:space="preserve">~2 clientes Starter</w:t>
            </w:r>
          </w:p>
        </w:tc>
      </w:tr>
      <w:tr>
        <w:tc>
          <w:p>
            <w:pPr>
              <w:jc w:val="left"/>
            </w:pPr>
            <w:r>
              <w:t xml:space="preserve">Adecuado</w:t>
            </w:r>
          </w:p>
        </w:tc>
        <w:tc>
          <w:p>
            <w:pPr>
              <w:jc w:val="left"/>
            </w:pPr>
            <w:r>
              <w:t xml:space="preserve">$354</w:t>
            </w:r>
          </w:p>
        </w:tc>
        <w:tc>
          <w:p>
            <w:pPr>
              <w:jc w:val="left"/>
            </w:pPr>
            <w:r>
              <w:t xml:space="preserve">$4,248</w:t>
            </w:r>
          </w:p>
        </w:tc>
        <w:tc>
          <w:p>
            <w:pPr>
              <w:jc w:val="left"/>
            </w:pPr>
            <w:r>
              <w:t xml:space="preserve">~4 clientes Starter</w:t>
            </w:r>
          </w:p>
        </w:tc>
      </w:tr>
    </w:tbl>
    <w:p>
      <w:pPr>
        <w:spacing w:before="240"/>
      </w:pPr>
      <w:r>
        <w:t xml:space="preserve"> </w:t>
      </w:r>
    </w:p>
    <w:p>
      <w:pPr>
        <w:spacing w:after="120"/>
        <w:jc w:val="left"/>
      </w:pPr>
      <w:r>
        <w:t xml:space="preserve">La configuración adecuada eleva el punto de equilibrio operativo (sin amortización) de ~4 a ~5–6 clientes totales, manteniéndose alcanzable en el primer trimestre de operación según la proyección conservadora del §3.6.</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2026-05-26T18:28:36.240Z</dcterms:created>
  <dcterms:modified xsi:type="dcterms:W3CDTF">2026-05-26T18:28:36.240Z</dcterms:modified>
</cp:coreProperties>
</file>

<file path=docProps/custom.xml><?xml version="1.0" encoding="utf-8"?>
<Properties xmlns="http://schemas.openxmlformats.org/officeDocument/2006/custom-properties" xmlns:vt="http://schemas.openxmlformats.org/officeDocument/2006/docPropsVTypes"/>
</file>