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データ保護ポリシー</w:t>
      </w:r>
    </w:p>
    <w:p>
      <w:pPr>
        <w:pStyle w:val="Heading1"/>
      </w:pPr>
      <w:r>
        <w:t>1. データ分類</w:t>
      </w:r>
    </w:p>
    <w:p>
      <w:r>
        <w:t>機密（Confidential）: 個人情報、認証情報、経営戦略情報</w:t>
      </w:r>
    </w:p>
    <w:p>
      <w:r>
        <w:t>社外秘（Internal）: 業務マニュアル、社内通達、組織図</w:t>
      </w:r>
    </w:p>
    <w:p>
      <w:r>
        <w:t>公開（Public）: プレスリリース、公開Webサイト掲載情報</w:t>
      </w:r>
    </w:p>
    <w:p>
      <w:pPr>
        <w:pStyle w:val="Heading1"/>
      </w:pPr>
      <w:r>
        <w:t>2. 保持期間</w:t>
      </w:r>
    </w:p>
    <w:p>
      <w:r>
        <w:t>取引データ: 法定保持期間（10年）</w:t>
      </w:r>
    </w:p>
    <w:p>
      <w:r>
        <w:t>個人情報: 利用目的達成後、速やかに廃棄</w:t>
      </w:r>
    </w:p>
    <w:p>
      <w:r>
        <w:t>ログデータ: 最低1年、監査要件に応じて最大7年</w:t>
      </w:r>
    </w:p>
    <w:p>
      <w:pPr>
        <w:pStyle w:val="Heading1"/>
      </w:pPr>
      <w:r>
        <w:t>3. 廃棄方法</w:t>
      </w:r>
    </w:p>
    <w:p>
      <w:r>
        <w:t>電子データ: 暗号学的消去または物理破壊</w:t>
      </w:r>
    </w:p>
    <w:p>
      <w:r>
        <w:t>紙媒体: シュレッダー（クロスカット以上）</w:t>
      </w:r>
    </w:p>
    <w:p>
      <w:r>
        <w:t>外部委託による廃棄時は廃棄証明書を取得する。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