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リモートアクセスポリシー</w:t>
      </w:r>
    </w:p>
    <w:p>
      <w:pPr>
        <w:pStyle w:val="Heading1"/>
      </w:pPr>
      <w:r>
        <w:t>1. VPN要件</w:t>
      </w:r>
    </w:p>
    <w:p>
      <w:r>
        <w:t>リモートアクセスには会社承認のVPNクライアントを使用すること。</w:t>
      </w:r>
    </w:p>
    <w:p>
      <w:r>
        <w:t>VPN接続時は多要素認証を必須とする。</w:t>
      </w:r>
    </w:p>
    <w:p>
      <w:r>
        <w:t>スプリットトンネリングは禁止する。</w:t>
      </w:r>
    </w:p>
    <w:p>
      <w:pPr>
        <w:pStyle w:val="Heading1"/>
      </w:pPr>
      <w:r>
        <w:t>2. BYOD管理</w:t>
      </w:r>
    </w:p>
    <w:p>
      <w:r>
        <w:t>個人端末の業務利用は原則禁止とする。</w:t>
      </w:r>
    </w:p>
    <w:p>
      <w:r>
        <w:t>やむを得ず利用する場合はMDM（Mobile Device Management）を導入すること。</w:t>
      </w:r>
    </w:p>
    <w:p>
      <w:r>
        <w:t>紛失・盗難時のリモートワイプ機能を有効にすること。</w:t>
      </w:r>
    </w:p>
    <w:p>
      <w:pPr>
        <w:pStyle w:val="Heading1"/>
      </w:pPr>
      <w:r>
        <w:t>3. テレワーク時の注意事項</w:t>
      </w:r>
    </w:p>
    <w:p>
      <w:r>
        <w:t>公共Wi-Fiでの業務は禁止する。</w:t>
      </w:r>
    </w:p>
    <w:p>
      <w:r>
        <w:t>画面ロックは5分以内に自動設定すること。</w:t>
      </w:r>
    </w:p>
    <w:p>
      <w:r>
        <w:t>業務データの個人クラウドストレージへの保存を禁止する。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