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監査・コンプライアンス管理</w:t>
      </w:r>
    </w:p>
    <w:p>
      <w:pPr>
        <w:pStyle w:val="Heading1"/>
      </w:pPr>
      <w:r>
        <w:t>1. 内部監査</w:t>
      </w:r>
    </w:p>
    <w:p>
      <w:r>
        <w:t>年1回の定期内部監査を実施する。</w:t>
      </w:r>
    </w:p>
    <w:p>
      <w:r>
        <w:t>監査対象: 情報セキュリティ管理態勢、アクセス管理、変更管理、インシデント対応。</w:t>
      </w:r>
    </w:p>
    <w:p>
      <w:r>
        <w:t>監査結果は取締役会に報告する。</w:t>
      </w:r>
    </w:p>
    <w:p>
      <w:pPr>
        <w:pStyle w:val="Heading1"/>
      </w:pPr>
      <w:r>
        <w:t>2. 外部監査</w:t>
      </w:r>
    </w:p>
    <w:p>
      <w:r>
        <w:t>SOC2 Type II 監査を年1回受審する。</w:t>
      </w:r>
    </w:p>
    <w:p>
      <w:r>
        <w:t>FISC安全対策基準への準拠状況を外部評価機関が検証する。</w:t>
      </w:r>
    </w:p>
    <w:p>
      <w:r>
        <w:t>指摘事項は90日以内に改善計画を策定し、是正する。</w:t>
      </w:r>
    </w:p>
    <w:p>
      <w:pPr>
        <w:pStyle w:val="Heading1"/>
      </w:pPr>
      <w:r>
        <w:t>3. 証跡管理</w:t>
      </w:r>
    </w:p>
    <w:p>
      <w:r>
        <w:t>監査証跡は改ざん防止措置を施したストレージに保管する。</w:t>
      </w:r>
    </w:p>
    <w:p>
      <w:r>
        <w:t>保管期間は最低5年とする。</w:t>
      </w:r>
    </w:p>
    <w:p>
      <w:r>
        <w:t>証跡へのアクセスは監査部門に限定する。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