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システム開発セキュリティ基準</w:t>
      </w:r>
    </w:p>
    <w:p>
      <w:pPr>
        <w:pStyle w:val="Heading1"/>
      </w:pPr>
      <w:r>
        <w:t>文書管理</w:t>
      </w:r>
    </w:p>
    <w:p>
      <w:r>
        <w:t>本基準は「システム開発セキュリティ基準」（文書番号: TD-SEC-015）として管理される。現行バージョンは2.0であり、2024年7月1日付で技術統括部長の承認を得て制定された。前バージョン（1.0、2022年4月制定）からの主な変更点は、アジャイル開発への対応、コンテナセキュリティ基準の追加、およびサプライチェーンリスク対策の強化である。</w:t>
      </w:r>
    </w:p>
    <w:p>
      <w:r>
        <w:t>本基準の改訂は、技術統括部 セキュリティ基盤課が起案し、情報セキュリティ委員会の審議を経て技術統括部長が承認する。FISC安全対策基準の改訂や、重大なセキュリティインシデントの発生時には臨時の見直しを行う。</w:t>
      </w:r>
    </w:p>
    <w:p>
      <w:r>
        <w:t>本基準の対象読者は、システム開発に従事する全ての職員および外部委託先の開発要員である。開発プロジェクトの開始時に、プロジェクトメンバー全員が本基準の内容を確認し、遵守誓約書を提出することを必須とする。</w:t>
      </w:r>
    </w:p>
    <w:p>
      <w:pPr>
        <w:pStyle w:val="Heading1"/>
      </w:pPr>
      <w:r>
        <w:t>開発プロセス（セキュアSDLC）</w:t>
      </w:r>
    </w:p>
    <w:p>
      <w:r>
        <w:t>当行のシステム開発は、セキュアソフトウェア開発ライフサイクル（セキュアSDLC）に基づいて実施する。各開発フェーズ（要件定義、設計、実装、テスト、リリース）にセキュリティゲートを設置し、ゲート通過条件を満たさない限り次フェーズへの移行を認めない。セキュリティゲートの判定は、情報セキュリティ部門が任命するセキュリティレビュアーが行う。</w:t>
      </w:r>
    </w:p>
    <w:p>
      <w:r>
        <w:t>ウォーターフォール開発では、各フェーズ完了時にセキュリティゲートレビューを実施する。要件定義フェーズでは脅威モデリングの完了、設計フェーズではセキュリティアーキテクチャレビューの完了、実装フェーズでは静的解析の実施、テストフェーズでは脆弱性テストの完了をゲート通過条件とする。</w:t>
      </w:r>
    </w:p>
    <w:p>
      <w:r>
        <w:t>アジャイル開発（スクラム）では、スプリント単位でのセキュリティ活動を組み込む。各スプリントのバックログリファインメント時にセキュリティ要件を確認し、スプリントレビューにセキュリティレビュアーが参加する。リリーススプリントでは、統合的なセキュリティテストを必須とする。</w:t>
      </w:r>
    </w:p>
    <w:p>
      <w:r>
        <w:t>DevSecOpsの実践として、CI/CDパイプラインにセキュリティテストを自動組込みし、ビルド時の静的解析、デプロイ前の脆弱性スキャンを自動実行する。セキュリティテストの不合格はビルドの失敗として扱い、デプロイをブロックする。</w:t>
      </w:r>
    </w:p>
    <w:p>
      <w:pPr>
        <w:pStyle w:val="Heading1"/>
      </w:pPr>
      <w:r>
        <w:t>セキュリティ要件定義</w:t>
      </w:r>
    </w:p>
    <w:p>
      <w:r>
        <w:t>システム開発の要件定義フェーズにおいて、機能要件と並行してセキュリティ要件を定義する。セキュリティ要件の導出には、STRIDEモデル（Spoofing, Tampering, Repudiation, Information Disclosure, Denial of Service, Elevation of Privilege）に基づく脅威モデリングを必須とする。脅威モデリングの結果は「脅威分析書」として文書化する。</w:t>
      </w:r>
    </w:p>
    <w:p>
      <w:r>
        <w:t>セキュリティ要件は、当行が定める「セキュリティ要件テンプレート」を用いて記述する。テンプレートには、認証・認可、暗号化、ログ・監査証跡、入力バリデーション、エラーハンドリング、セッション管理の各カテゴリが含まれる。各要件には、FISC安全対策基準との対応関係を明記する。</w:t>
      </w:r>
    </w:p>
    <w:p>
      <w:r>
        <w:t>データフロー図（DFD）を作成し、信頼境界（Trust Boundary）を明確にする。信頼境界を越えるデータの流れに対して、認証、暗号化、入力検証等のセキュリティ制御を漏れなく設計する。特に外部システムとの連携部分は重点的に分析する。</w:t>
      </w:r>
    </w:p>
    <w:p>
      <w:r>
        <w:t>セキュリティ要件定義の完了判定は、セキュリティレビュアーによるレビューを経て行う。脅威モデリングの網羅性、セキュリティ要件の妥当性、FISC基準との整合性を確認し、不備がある場合は修正を求める。</w:t>
      </w:r>
    </w:p>
    <w:p>
      <w:pPr>
        <w:pStyle w:val="Heading1"/>
      </w:pPr>
      <w:r>
        <w:t>セキュアコーディング基準</w:t>
      </w:r>
    </w:p>
    <w:p>
      <w:r>
        <w:t>全てのシステム開発において、OWASP Top 10で示される脆弱性への対策を必須とする。特にSQLインジェクション対策としてプリペアドステートメント（パラメータ化クエリ）の使用を徹底し、文字列連結によるSQL文の構築を禁止する。クロスサイトスクリプティング（XSS）対策として、全ての出力箇所でコンテキストに応じたエスケープ処理を行う。</w:t>
      </w:r>
    </w:p>
    <w:p>
      <w:r>
        <w:t>クロスサイトリクエストフォージェリ（CSRF）対策として、状態変更を伴うリクエストにはCSRFトークンの検証を必須とする。入力バリデーションはホワイトリスト方式を原則とし、全ての外部入力（HTTPリクエストパラメータ、ファイルアップロード、API入力等）に対して実施する。出力エスケープはテンプレートエンジンの自動エスケープ機能を活用し、手動エスケープへの依存を最小化する。</w:t>
      </w:r>
    </w:p>
    <w:p>
      <w:r>
        <w:t>言語別のセキュアコーディングガイドラインを以下の通り定める。Java: Spring Securityフレームワークの活用、シリアライズ/デシリアライズの安全な実装、JNDI Lookupの制限。Python: Djangoのセキュリティミドルウェアの有効化、pickleモジュールによる信頼できないデータのデシリアライズ禁止、subprocessモジュール使用時のシェルインジェクション対策。JavaScript: DOMベースXSSの防止（innerHTML使用禁止、textContent推奨）、Content Security Policy（CSP）ヘッダの設定、npmパッケージの脆弱性チェック。</w:t>
      </w:r>
    </w:p>
    <w:p>
      <w:r>
        <w:t>機密情報（パスワード、APIキー、暗号鍵等）をソースコードやコンフィグファイルにハードコーディングすることを禁止する。機密情報の管理にはシークレット管理ツール（HashiCorp Vault等）を使用し、環境変数またはシークレットストア経由で注入する。</w:t>
      </w:r>
    </w:p>
    <w:p>
      <w:pPr>
        <w:pStyle w:val="Heading1"/>
      </w:pPr>
      <w:r>
        <w:t>コードレビュー</w:t>
      </w:r>
    </w:p>
    <w:p>
      <w:r>
        <w:t>全てのプルリクエスト（PR）に対して、機能レビューに加えてセキュリティレビューを実施する。セキュリティレビューでは、当行が定める「セキュリティレビューチェックリスト」（全30項目）に基づき、認証・認可の適切性、入力バリデーションの網羅性、暗号化の適正性、ログ出力の適切性（機密情報の非出力確認）等を確認する。</w:t>
      </w:r>
    </w:p>
    <w:p>
      <w:r>
        <w:t>PRの承認には、最低2名のレビュアーの承認を必要とし、うち1名はセキュリティレビューの資格を持つ者（セキュリティチャンピオン）でなければならない。セキュリティチャンピオンは、情報セキュリティ部門が実施する認定研修を修了した開発者から任命する。各開発チームに最低1名のセキュリティチャンピオンを配置する。</w:t>
      </w:r>
    </w:p>
    <w:p>
      <w:r>
        <w:t>セキュリティ上の指摘事項はSeverity（Critical/High/Medium/Low）を付与し、CriticalおよびHighの指摘はマージ前に必ず修正する。Mediumの指摘は次スプリント内での対応を必須とし、Lowの指摘はバックログに記録して計画的に対応する。レビュー結果はコードレビューツール上で記録し、トレーサビリティを確保する。</w:t>
      </w:r>
    </w:p>
    <w:p>
      <w:pPr>
        <w:pStyle w:val="Heading1"/>
      </w:pPr>
      <w:r>
        <w:t>静的解析・動的テスト</w:t>
      </w:r>
    </w:p>
    <w:p>
      <w:r>
        <w:t>静的アプリケーションセキュリティテスト（SAST）として、SonarQubeおよびCheckmarxを標準ツールとして導入する。SASTはCI/CDパイプラインに統合し、コードのプッシュ時に自動実行する。CriticalおよびHighの検出項目はビルドを失敗させ、マージをブロックする。偽陽性（False Positive）の判定はセキュリティチャンピオンが行い、判定理由を記録する。</w:t>
      </w:r>
    </w:p>
    <w:p>
      <w:r>
        <w:t>動的アプリケーションセキュリティテスト（DAST）として、OWASP ZAPを標準ツールとして使用する。DASTはステージング環境へのデプロイ後に自動実行し、Webアプリケーションの脆弱性を検出する。API開発においては、OWASP ZAPのAPI Scanモードを使用し、OpenAPI仕様書に基づくテストを実施する。</w:t>
      </w:r>
    </w:p>
    <w:p>
      <w:r>
        <w:t>ソフトウェア構成分析（SCA）として、SnykおよびDependabotを導入し、サードパーティライブラリの既知脆弱性を継続的に検出する。SCAはCI/CDパイプラインに統合するとともに、リポジトリの定期スキャンを日次で実行する。脆弱性が検出されたライブラリは、修正バージョンが利用可能な場合は速やかにアップデートする。</w:t>
      </w:r>
    </w:p>
    <w:p>
      <w:r>
        <w:t>全てのセキュリティテストの結果は、脆弱性管理プラットフォームに集約し、一元的に管理する。テスト結果のダッシュボードを情報セキュリティ部門に共有し、全社的な脆弱性トレンドの把握と改善活動に活用する。</w:t>
      </w:r>
    </w:p>
    <w:p>
      <w:pPr>
        <w:pStyle w:val="Heading1"/>
      </w:pPr>
      <w:r>
        <w:t>脆弱性テスト</w:t>
      </w:r>
    </w:p>
    <w:p>
      <w:r>
        <w:t>リリース前のペネトレーションテスト（侵入テスト）は、重要度分類Aのシステムにおいて必須とする。重要度分類Bのシステムでは、新規開発時および大規模改修時に実施する。ペネトレーションテストは、外部の専門機関（CREST認定またはこれに準ずる資格を有する事業者）に委託して実施する。テストのスコープはブラックボックス型を基本とし、必要に応じてグレーボックス型を併用する。</w:t>
      </w:r>
    </w:p>
    <w:p>
      <w:r>
        <w:t>脆弱性のトリアージは、CVSSスコアおよび当行のビジネスインパクトを総合的に勘案して判定する。トリアージの結果、Critical（CVSSスコア9.0以上かつ攻撃の容易性が高い）、High（CVSSスコア7.0以上）、Medium（CVSSスコア4.0以上）、Low（CVSSスコア4.0未満）に分類する。分類不能な脆弱性はセキュリティチームが合議で判定する。</w:t>
      </w:r>
    </w:p>
    <w:p>
      <w:r>
        <w:t>脆弱性の修正期限は、Critical: 検出後即時対応（暫定措置を含む）、High: 7日以内、Medium: 30日以内、Low: 次回定期リリースまでとする。修正期限の延長が必要な場合は、情報セキュリティ管理責任者の承認を得た上で、リスク受容の記録を残す。修正後は再テストを実施し、脆弱性が解消されたことを確認する。</w:t>
      </w:r>
    </w:p>
    <w:p>
      <w:pPr>
        <w:pStyle w:val="Heading1"/>
      </w:pPr>
      <w:r>
        <w:t>リリース管理</w:t>
      </w:r>
    </w:p>
    <w:p>
      <w:r>
        <w:t>システムのリリースは、所定のリリース承認フローに基づいて実施する。リリース承認の前提条件として、全てのセキュリティゲートの通過、CriticalおよびHighの脆弱性の解消、セキュリティテスト報告書の提出、および変更管理委員会（CAB）の承認を必要とする。本番環境へのデプロイ権限は、開発者とは分離された運用チームに限定する。</w:t>
      </w:r>
    </w:p>
    <w:p>
      <w:r>
        <w:t>デプロイメント方式として、Blue-Greenデプロイメントを標準とする。現行環境（Blue）と新環境（Green）を並行で維持し、トラフィックの切替えにより瞬時にリリースを行う。重要度分類Aのシステムでは、カナリアリリースを併用し、一部のトラフィック（5%〜10%）を新バージョンに振り向けて問題がないことを確認した後、段階的に全トラフィックを切り替える。</w:t>
      </w:r>
    </w:p>
    <w:p>
      <w:r>
        <w:t>ロールバック手順を事前に策定し、リリース手順書に明記する。リリース後に重大な問題が検出された場合は、30分以内にロールバック判断を行い、1時間以内にロールバックを完了する。ロールバック判断の権限は、リリース責任者（原則としてプロジェクトマネージャー）に付与する。</w:t>
      </w:r>
    </w:p>
    <w:p>
      <w:r>
        <w:t>リリース後の監視として、リリース後24時間は強化監視体制を敷く。エラーレート、レスポンスタイム、リソース使用率等の指標を監視し、異常が検出された場合は速やかにエスカレーションする。</w:t>
      </w:r>
    </w:p>
    <w:p>
      <w:pPr>
        <w:pStyle w:val="Heading1"/>
      </w:pPr>
      <w:r>
        <w:t>開発環境管理</w:t>
      </w:r>
    </w:p>
    <w:p>
      <w:r>
        <w:t>開発環境およびテスト環境において、本番データの使用を原則禁止する。テストに本番相当のデータが必要な場合は、データマスキングツールを使用して個人情報・機密情報を匿名化したデータセットを作成する。マスキングルールは情報セキュリティ部門が定め、マスキング結果の検証を実施する。</w:t>
      </w:r>
    </w:p>
    <w:p>
      <w:r>
        <w:t>開発環境のネットワークは本番環境から物理的または論理的に分離し、開発環境から本番環境への直接アクセスを禁止する。開発者のインターネットアクセスについては、プロキシサーバー経由とし、不正サイトへのアクセスをフィルタリングする。外部リポジトリ（GitHub, npm等）へのアクセスは許可リストに基づいて制御する。</w:t>
      </w:r>
    </w:p>
    <w:p>
      <w:r>
        <w:t>コンテナイメージのセキュリティについては、ベースイメージは当行が承認したイメージレジストリから取得することを必須とする。コンテナイメージの脆弱性スキャンをCI/CDパイプラインに組み込み、CriticalおよびHighの脆弱性を含むイメージのデプロイを禁止する。イメージの署名検証を実施し、改ざんされたイメージの使用を防止する。</w:t>
      </w:r>
    </w:p>
    <w:p>
      <w:r>
        <w:t>開発環境のアクセス権限は、プロジェクトへのアサイン期間に限定し、プロジェクト離任時は速やかに権限を削除する。開発環境の構成管理はIaC（Infrastructure as Code）で行い、環境構成の変更履歴をバージョン管理する。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