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監査・コンプライアンス管理規程</w:t>
      </w:r>
    </w:p>
    <w:p>
      <w:pPr>
        <w:pStyle w:val="Heading1"/>
      </w:pPr>
      <w:r>
        <w:t>1. 文書管理</w:t>
      </w:r>
    </w:p>
    <w:p>
      <w:r>
        <w:t>本規程は当行の情報システムに関する監査およびコンプライアンス管理の基本方針・手順を定めるものである。文書番号 AUD-CMP-2024-001、バージョン 2.2、最終改訂日 2024年7月1日とする。管理責任者は内部監査部長であり、改訂には取締役会の承認を要する。</w:t>
      </w:r>
    </w:p>
    <w:p>
      <w:r>
        <w:t>本規程の適用範囲は当行の全情報システム、関連する業務プロセス、および外部委託先のシステム運用を含む。グループ会社のシステムについても、当行が管理責任を有する範囲において本規程を準用する。</w:t>
      </w:r>
    </w:p>
    <w:p>
      <w:r>
        <w:t>本規程はFISC安全対策基準、金融庁検査マニュアル、および関連法令の改正に応じて適時改訂する。定期見直しは年次で実施し、改訂内容は全部門長および外部監査法人に通知する。旧版は改訂日から10年間保管する。</w:t>
      </w:r>
    </w:p>
    <w:p>
      <w:pPr>
        <w:pStyle w:val="Heading1"/>
      </w:pPr>
      <w:r>
        <w:t>2. 内部監査体制</w:t>
      </w:r>
    </w:p>
    <w:p>
      <w:r>
        <w:t>内部監査部は経営層（取締役会）直轄の独立組織として設置し、被監査部門からの独立性を確保する。内部監査部長は取締役会に直接報告する権限を有し、監査結果は経営会議および監査役会にも報告する。現在の内部監査部は部長1名、主任監査員4名、監査員6名の計11名で構成する。</w:t>
      </w:r>
    </w:p>
    <w:p>
      <w:r>
        <w:t>監査員の資格要件として、CISA（公認情報システム監査人）、CISSP（公認情報システムセキュリティ専門家）、またはシステム監査技術者のいずれかの資格保有を推奨する。現在、主任監査員4名全員がCISAを保有し、うち2名はCISSPも保有している。年間40時間以上の継続的専門教育（CPE）を義務付ける。</w:t>
      </w:r>
    </w:p>
    <w:p>
      <w:r>
        <w:t>内部監査の対象領域は、(1)情報セキュリティ管理、(2)システム開発管理、(3)システム運用管理、(4)データ管理、(5)外部委託先管理、(6)事業継続管理、(7)アクセス管理、(8)変更管理の8領域とする。各領域は最低年1回の監査を実施する。</w:t>
      </w:r>
    </w:p>
    <w:p>
      <w:r>
        <w:t>監査の客観性を確保するため、監査員は自身が過去2年以内に関与した業務・システムの監査を担当しない。外部監査法人との連携により、監査の網羅性と品質を相互に確認する。監査品質の自己評価は年次で実施し、3年ごとに外部品質評価（IIA基準準拠）を受ける。</w:t>
      </w:r>
    </w:p>
    <w:p>
      <w:pPr>
        <w:pStyle w:val="Heading1"/>
      </w:pPr>
      <w:r>
        <w:t>3. 監査計画</w:t>
      </w:r>
    </w:p>
    <w:p>
      <w:r>
        <w:t>年間監査計画は毎年12月に策定し、取締役会の承認を得て翌年度に実施する。計画策定にはリスクベースアプローチを採用し、前年度の監査結果、リスクアセスメント結果、外部環境変化（規制改正、脅威動向）を考慮して監査対象・重点テーマを決定する。</w:t>
      </w:r>
    </w:p>
    <w:p>
      <w:r>
        <w:t>年間スケジュールは、4月〜6月：上半期テーマ監査（2024年度テーマ：クラウドセキュリティ管理、特権アクセス管理）、7月〜9月：定期監査（全8領域のうち4領域）、10月〜12月：下半期テーマ監査（2024年度テーマ：サプライチェーンリスク管理）+ 定期監査（残4領域）、1月〜3月：フォローアップ監査・年間報告書作成とする。</w:t>
      </w:r>
    </w:p>
    <w:p>
      <w:r>
        <w:t>抜き打ち監査は年2回以上実施し、計画外の監査として実施時期は事前に通知しない。抜き打ち監査の対象は内部監査部長が決定し、主にアクセスログの確認、セキュリティポリシー遵守状況、バックアップ運用の実態確認を行う。</w:t>
      </w:r>
    </w:p>
    <w:p>
      <w:r>
        <w:t>監査の実施手順は、(1) 事前調査（監査対象の情報収集・リスク評価）、(2) 監査計画書の作成・通知、(3) 実地監査（インタビュー、ドキュメントレビュー、技術検証）、(4) 監査報告書のドラフト作成・被監査部門への確認、(5) 最終監査報告書の発行・経営層報告、(6) フォローアップの6ステップで構成する。</w:t>
      </w:r>
    </w:p>
    <w:p>
      <w:pPr>
        <w:pStyle w:val="Heading1"/>
      </w:pPr>
      <w:r>
        <w:t>4. 外部監査</w:t>
      </w:r>
    </w:p>
    <w:p>
      <w:r>
        <w:t>SOC 2 Type II監査を年次で受審し、セキュリティ、可用性、処理のインテグリティ、機密性の4つのトラストサービス基準について独立した保証報告書を取得する。監査法人はBig4系ファーム（現在はデロイト トーマツ リスクアドバイザリー）に委託し、監査期間は12ヶ月間（1月〜12月）とする。</w:t>
      </w:r>
    </w:p>
    <w:p>
      <w:r>
        <w:t>FISC安全対策基準への準拠性検証は年次で実施し、技術基準（技-1〜技-40）、設備基準（設-1〜設-15）、運用基準（運-1〜運-30）の全項目について自己評価を行った上で、外部監査法人による第三者検証を受ける。2024年度の準拠率は技術基準98.5%、設備基準100%、運用基準97.3%であった。</w:t>
      </w:r>
    </w:p>
    <w:p>
      <w:r>
        <w:t>PCI DSS v4.0準拠の維持のため、QSA（Qualified Security Assessor）による年次オンサイト監査を受審する。対象範囲はクレジットカード情報を処理するシステム（カードレス決済基盤）とし、セグメンテーションテスト、ペネトレーションテストを含む包括的な評価を実施する。</w:t>
      </w:r>
    </w:p>
    <w:p>
      <w:r>
        <w:t>外部監査の指摘事項は重要度に応じて分類し、Critical（重大）は30日以内、High（高）は60日以内、Medium（中）は90日以内の是正を目標とする。指摘事項への対応状況は月次で経営会議に報告し、是正完了後は外部監査法人による検証を受ける。2024年度の外部監査指摘件数はCritical 0件、High 2件、Medium 7件であった。</w:t>
      </w:r>
    </w:p>
    <w:p>
      <w:pPr>
        <w:pStyle w:val="Heading1"/>
      </w:pPr>
      <w:r>
        <w:t>5. コンプライアンスフレームワーク</w:t>
      </w:r>
    </w:p>
    <w:p>
      <w:r>
        <w:t>当行の情報システムコンプライアンスは、金融庁「金融機関のITガバナンスに関する対話のための論点・プラクティスの整理」を上位方針とし、個別法令・規制への準拠を管理する。コンプライアンスオフィサー（法務部兼任）がフレームワーク全体を統括し、各部門にコンプライアンス責任者を配置する。</w:t>
      </w:r>
    </w:p>
    <w:p>
      <w:r>
        <w:t>準拠すべき主要法令・規制として、(1)個人情報保護法（個人データの安全管理措置、越境移転規制）、(2)犯罪収益移転防止法（取引時確認、疑わしい取引の届出）、(3)不正アクセス禁止法（アクセス管理義務）、(4)電子記録債権法（電子記録の真正性確保）、(5)銀行法施行規則（システムリスク管理態勢）を対象とする。</w:t>
      </w:r>
    </w:p>
    <w:p>
      <w:r>
        <w:t>コンプライアンス要件とシステム管理策のマッピングを「コンプライアンスマトリクス」として管理し、各要件に対する技術的対策・運用的対策の実施状況を四半期ごとに評価する。マトリクスはGRC（Governance, Risk and Compliance）ツール（ServiceNow GRC）で管理し、対策の有効性評価を自動化している。</w:t>
      </w:r>
    </w:p>
    <w:p>
      <w:r>
        <w:t>法令・規制の改正動向はコンプライアンスオフィサーが継続的にモニタリングし、影響分析を実施する。改正法への対応が必要な場合は、対応計画を策定して経営会議に報告し、施行日までに対応を完了する。2024年度は個人情報保護法施行規則の改正（越境移転規制の強化）に対応し、クラウドサービスの利用状況調査および同意取得プロセスの見直しを実施した。</w:t>
      </w:r>
    </w:p>
    <w:p>
      <w:pPr>
        <w:pStyle w:val="Heading1"/>
      </w:pPr>
      <w:r>
        <w:t>6. 証跡管理</w:t>
      </w:r>
    </w:p>
    <w:p>
      <w:r>
        <w:t>監査証跡は改ざん防止措置を施した上で、法定保管期間に基づき保管する。保管期間は原則5年間とし、金融商品取引法関連の証跡は7年間、犯罪収益移転防止法関連の証跡は7年間保管する。保管期間満了後の証跡は、情報資産管理規程に基づく廃棄手順に従い、復元不可能な方法で廃棄する。</w:t>
      </w:r>
    </w:p>
    <w:p>
      <w:r>
        <w:t>技術的な改ざん防止策として、(1)ログの書き込み専用ストレージ（S3 Object Lock WORM）への保管、(2)ログ取込時のハッシュ値（SHA-256）付与と定期的なハッシュ検証、(3)タイムスタンプサーバ（セイコーソリューションズ認定TSA）による時刻認証、(4)アクセスログの別系統での二重保管を実施する。</w:t>
      </w:r>
    </w:p>
    <w:p>
      <w:r>
        <w:t>証跡へのアクセスは最小権限の原則に基づき厳格に制限する。アクセス権限は、(1)監査部門：全証跡の読み取り権限、(2)セキュリティ部門：セキュリティ関連証跡の読み取り権限、(3)運用部門：運用ログの読み取り権限（直近90日分のみ）、(4)システム管理者：証跡の書き込み権限（自動連携のみ、手動操作不可）とする。</w:t>
      </w:r>
    </w:p>
    <w:p>
      <w:r>
        <w:t>証跡の完全性検証は月次で自動実行し、ハッシュ値の不一致、保管期間内の証跡欠損、不正アクセス試行を検出した場合はセキュリティインシデントとして対応する。年次の内部監査にて証跡管理の運用実態を検証し、保管期間の遵守状況、アクセス制限の有効性を確認する。</w:t>
      </w:r>
    </w:p>
    <w:p>
      <w:pPr>
        <w:pStyle w:val="Heading1"/>
      </w:pPr>
      <w:r>
        <w:t>7. 是正措置</w:t>
      </w:r>
    </w:p>
    <w:p>
      <w:r>
        <w:t>内部監査および外部監査で識別された指摘事項に対して、被監査部門は是正計画を策定する。是正計画には、(1)指摘事項の根本原因分析、(2)是正措置の内容、(3)実施スケジュール、(4)担当者、(5)完了判定基準を含める。是正計画は指摘事項の通知から15営業日以内に提出し、内部監査部が妥当性を審査する。</w:t>
      </w:r>
    </w:p>
    <w:p>
      <w:r>
        <w:t>是正措置の実施期限は指摘の重要度に応じて設定する。Critical（重大）：30日以内、High（高）：60日以内、Medium（中）：90日以内、Low（低）：次回定期監査まで。期限の延長は内部監査部長の承認を要し、延長理由と修正スケジュールを文書化する。</w:t>
      </w:r>
    </w:p>
    <w:p>
      <w:r>
        <w:t>フォローアップ監査は是正措置の実施完了後30日以内に実施し、(1)是正措置の実施状況の確認、(2)是正措置の有効性の評価、(3)残存リスクの評価を行う。是正が不十分と判断された場合は、追加是正措置を要求し、再フォローアップを実施する。Critical指摘事項のフォローアップ結果は取締役会に報告する。</w:t>
      </w:r>
    </w:p>
    <w:p>
      <w:r>
        <w:t>是正措置の進捗管理はServiceNow GRCの是正管理モジュールにて一元管理し、期限超過アラートの自動送信、進捗ダッシュボードの可視化を行う。年間の是正完了率は95%以上を目標とし、未完了の是正事項は月次の経営会議にて報告する。2024年度の是正完了率は97.8%（指摘45件中44件完了、1件継続対応中）であった。</w:t>
      </w:r>
    </w:p>
    <w:p>
      <w:pPr>
        <w:pStyle w:val="Heading1"/>
      </w:pPr>
      <w:r>
        <w:t>8. 教育・研修記録</w:t>
      </w:r>
    </w:p>
    <w:p>
      <w:r>
        <w:t>情報セキュリティおよびコンプライアンスに関する教育・研修を年2回（4月・10月）全従業員に対して実施する。研修内容は、(1)情報セキュリティ基礎（セキュリティポリシー、パスワード管理、フィッシング対策）、(2)個人情報保護（取扱ルール、漏洩時の対応）、(3)コンプライアンス（内部統制、不正防止、通報制度）、(4)最新脅威動向（ランサムウェア対策、ソーシャルエンジニアリング対策）の4テーマとする。</w:t>
      </w:r>
    </w:p>
    <w:p>
      <w:r>
        <w:t>研修はeラーニング形式（LMS: SAP SuccessFactors Learning）を基本とし、各テーマ30分〜60分の教材を配信する。受講完了後に理解度テスト（合格基準80点以上）を実施し、不合格者には再受講を義務付ける。研修受講率の目標は全従業員の100%であり、期限内の受講率が95%を下回った部門には部門長への督促を行う。</w:t>
      </w:r>
    </w:p>
    <w:p>
      <w:r>
        <w:t>IT部門向けの専門研修として、(1)セキュアコーディング研修（年1回、外部講師）、(2)インシデントレスポンス訓練（年2回、机上演習 + 実機演習）、(3)FISC安全対策基準研修（年1回、新基準対応）を実施する。CSIRT要員には外部のセキュリティカンファレンス（CODE BLUE、Security Days等）への参加を推奨し、年間1回以上の参加を目標とする。</w:t>
      </w:r>
    </w:p>
    <w:p>
      <w:r>
        <w:t>研修記録はLMS上で一元管理し、受講日、テスト結果、受講証明書を個人別に記録する。研修記録は内部監査の監査証跡として5年間保管する。年次の研修実施報告にて、受講率、テスト合格率、受講者アンケート結果を経営層に報告する。2024年度上期の全社研修受講率は98.3%、理解度テスト平均点は87.2点であ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