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データ保護ポリシー</w:t>
      </w:r>
    </w:p>
    <w:p>
      <w:pPr>
        <w:pStyle w:val="Heading1"/>
      </w:pPr>
      <w:r>
        <w:t>1. 文書管理</w:t>
      </w:r>
    </w:p>
    <w:p>
      <w:r>
        <w:t>本文書は当行が保有・処理する情報資産の保護に関する方針および実施基準を定めるものである。文書番号は ISP-004 とし、情報セキュリティポリシー（ISP-001）の下位文書として位置づける。</w:t>
      </w:r>
    </w:p>
    <w:p>
      <w:r>
        <w:t>本版は第3.0版（2025年5月1日改定）であり、前版（第2.4版、2024年11月1日）からの主な変更点は、改正個人情報保護法（2024年施行）への対応およびデータマスキング要件の強化である。FISC安全対策基準 技-35（データの保護）に準拠する。</w:t>
      </w:r>
    </w:p>
    <w:p>
      <w:r>
        <w:t>本文書は、アクセス制御ポリシー（ISP-002）、暗号化基準（ISP-003）と密接に関連しており、データ分類に基づくアクセス制御と暗号化の要件を横断的に規定する。管理責任者はコンプライアンス部長とし、年1回以上の見直しを実施する。</w:t>
      </w:r>
    </w:p>
    <w:p>
      <w:pPr>
        <w:pStyle w:val="Heading1"/>
      </w:pPr>
      <w:r>
        <w:t>2. データ分類</w:t>
      </w:r>
    </w:p>
    <w:p>
      <w:r>
        <w:t>当行が保有する全ての情報資産を、機密度に応じて「機密」「社外秘」「公開」の3段階に分類する。「機密」は、漏洩した場合に当行の経営に重大な影響を及ぼす情報であり、顧客の口座情報、認証情報、経営戦略に関する情報がこれに該当する。FISC安全対策基準 技-36（情報の分類管理）に準拠した分類基準を適用する。</w:t>
      </w:r>
    </w:p>
    <w:p>
      <w:r>
        <w:t>「社外秘」は、漏洩した場合に業務遂行に支障をきたす情報であり、行内の業務マニュアル、人事情報、取引先情報、システム設計書がこれに該当する。「公開」は、公開しても問題のない情報であり、パンフレット、プレスリリース、公開済みの財務情報がこれに該当する。</w:t>
      </w:r>
    </w:p>
    <w:p>
      <w:r>
        <w:t>情報資産の分類は、情報の作成者または管理責任者が行い、分類ラベルを明示する。電子データにはメタデータまたはファイル名の接頭辞として分類ラベルを付与する。分類の判断に迷う場合は、より高い機密度を適用する（上位分類の原則）。分類の見直しは情報のライフサイクルに応じて適宜実施する。</w:t>
      </w:r>
    </w:p>
    <w:p>
      <w:pPr>
        <w:pStyle w:val="Heading1"/>
      </w:pPr>
      <w:r>
        <w:t>3. 個人情報保護</w:t>
      </w:r>
    </w:p>
    <w:p>
      <w:r>
        <w:t>個人情報の取り扱いは、個人情報の保護に関する法律（個人情報保護法）および金融分野における個人情報保護に関するガイドライン（金融庁）を遵守する。特定個人情報（マイナンバー）の取り扱いは、番号法および関連ガイドラインに従う。</w:t>
      </w:r>
    </w:p>
    <w:p>
      <w:r>
        <w:t>個人データの利用目的は特定・公表し、目的外利用を禁止する。個人データの第三者提供は本人の同意を原則とし、法令に基づく場合を除きオプトアウト方式による提供は行わない。要配慮個人情報（病歴、信条等）の取得は本人の明示的な同意を必須とする。</w:t>
      </w:r>
    </w:p>
    <w:p>
      <w:r>
        <w:t>個人情報保護管理者（CPO: Chief Privacy Officer）をコンプライアンス部長が兼務し、個人情報保護に関する統括的な管理責任を負う。個人情報漏洩事故が発生した場合は、個人情報保護委員会への報告および本人への通知を法定期限内に実施する。プライバシー影響評価（PIA）を新規サービス開始時および大規模なシステム変更時に実施する。</w:t>
      </w:r>
    </w:p>
    <w:p>
      <w:pPr>
        <w:pStyle w:val="Heading1"/>
      </w:pPr>
      <w:r>
        <w:t>4. データライフサイクル</w:t>
      </w:r>
    </w:p>
    <w:p>
      <w:r>
        <w:t>情報資産は生成・収集・保管・利用・共有・保存・廃棄の各段階で適切な保護措置を講じる。各段階における具体的な管理要件は、データ分類に基づいて適用する。FISC安全対策基準 技-37（データのライフサイクル管理）に準拠した管理プロセスを確立する。</w:t>
      </w:r>
    </w:p>
    <w:p>
      <w:r>
        <w:t>データの生成・収集段階では、利用目的の明確化と最小限のデータ収集を原則とする。保管段階では暗号化基準（ISP-003）に定める暗号化を適用し、アクセス制御ポリシー（ISP-002）に基づくアクセス制限を実施する。利用・共有段階ではデータの取り扱いログを記録し、追跡可能性を確保する。</w:t>
      </w:r>
    </w:p>
    <w:p>
      <w:r>
        <w:t>データの移動・転送時には通信路の暗号化（TLS 1.2以上）を必須とする。データの複製は必要最小限とし、複製先においても原本と同等の保護措置を適用する。不要となったデータは速やかに安全な方法で廃棄し、廃棄記録を保存する。</w:t>
      </w:r>
    </w:p>
    <w:p>
      <w:pPr>
        <w:pStyle w:val="Heading1"/>
      </w:pPr>
      <w:r>
        <w:t>5. 保持期間と廃棄</w:t>
      </w:r>
    </w:p>
    <w:p>
      <w:r>
        <w:t>情報資産の保持期間は、法令要件および業務上の必要性に基づいて設定する。取引記録は商法および銀行法の規定に基づき、取引完了日から10年間保持する。FISC安全対策基準 運-28（データの保持と廃棄）に準拠した保持期間を設定する。</w:t>
      </w:r>
    </w:p>
    <w:p>
      <w:r>
        <w:t>システムアクセスログは最低1年間保持し、勘定系システムのログは7年間保持する。セキュリティインシデント関連のログは10年間保持する。個人情報は利用目的の達成に必要な期間を超えて保持しない。顧客との取引終了後、法令で定められた保持期間が満了した個人情報は速やかに廃棄する。</w:t>
      </w:r>
    </w:p>
    <w:p>
      <w:r>
        <w:t>電子データの廃棄は、NIST SP 800-88 Rev.1（媒体消去ガイドライン）に準拠した方法で実施する。機密データの廃棄にはClear（論理消去）ではなくPurge（物理消去）以上の消去方式を適用する。紙媒体の廃棄はクロスカットシュレッダー（粒度4mm×40mm以下）または焼却処分により実施し、廃棄証明書を取得する。</w:t>
      </w:r>
    </w:p>
    <w:p>
      <w:pPr>
        <w:pStyle w:val="Heading1"/>
      </w:pPr>
      <w:r>
        <w:t>6. DLP（データ損失防止）</w:t>
      </w:r>
    </w:p>
    <w:p>
      <w:r>
        <w:t>機密情報および個人情報の不正な持ち出しを防止するため、DLP（Data Loss Prevention）ソリューションを導入する。FISC安全対策基準 技-38（情報漏洩対策）に基づき、ネットワーク型およびエンドポイント型のDLPを組み合わせた多層的な対策を実施する。</w:t>
      </w:r>
    </w:p>
    <w:p>
      <w:r>
        <w:t>ネットワークDLPにより、メール送信、Webアップロード、クラウドストレージへのファイル転送を監視し、機密情報を含むデータの外部送信を検知・ブロックする。検知ルールにはキーワードマッチング、正規表現パターン（口座番号、マイナンバー等）、機械学習ベースの分類を組み合わせる。</w:t>
      </w:r>
    </w:p>
    <w:p>
      <w:r>
        <w:t>エンドポイントDLPにより、USB等の外部記憶媒体への書き出し、印刷、スクリーンキャプチャを制御する。機密データのUSB書き出しは原則禁止とし、業務上やむを得ない場合は上長の承認と暗号化を必須とする。DLPアラートはSOCが監視し、重大なポリシー違反はCSIRTおよびコンプライアンス部に通報する。</w:t>
      </w:r>
    </w:p>
    <w:p>
      <w:pPr>
        <w:pStyle w:val="Heading1"/>
      </w:pPr>
      <w:r>
        <w:t>7. 越境データ移転</w:t>
      </w:r>
    </w:p>
    <w:p>
      <w:r>
        <w:t>当行が保有する個人データの外国への移転は、個人情報保護法第28条に基づき、本人の同意取得または移転先における適切な保護措置の確保を必須とする。EU域内からのデータ移転については、GDPR第46条に基づく適切な保護措置（SCC等）を講じる。</w:t>
      </w:r>
    </w:p>
    <w:p>
      <w:r>
        <w:t>クラウドサービスの利用にあたっては、データの保管場所（リージョン）を日本国内に限定することを原則とする。海外リージョンの利用が不可避な場合は、情報セキュリティ委員会の承認を得た上で、暗号化基準（ISP-003）に定める暗号化を適用する。当行が暗号鍵を管理し、クラウド事業者が平文データにアクセスできない構成とする。</w:t>
      </w:r>
    </w:p>
    <w:p>
      <w:r>
        <w:t>外部委託先への個人データの委託にあたっては、委託先の所在国における個人情報保護制度を確認し、委託契約にデータ保護条項を含める。年1回以上、委託先のデータ保護状況を監査する。FISC安全対策基準 運-37（海外委託管理）に準拠した管理体制を構築する。</w:t>
      </w:r>
    </w:p>
    <w:p>
      <w:pPr>
        <w:pStyle w:val="Heading1"/>
      </w:pPr>
      <w:r>
        <w:t>8. データマスキング・匿名化</w:t>
      </w:r>
    </w:p>
    <w:p>
      <w:r>
        <w:t>開発環境・テスト環境で使用するデータは、本番データを直接使用することを禁止し、データマスキングまたは匿名化処理を施したテストデータを使用する。FISC安全対策基準 技-39（テストデータの管理）に準拠し、本番データの不正利用を防止する。</w:t>
      </w:r>
    </w:p>
    <w:p>
      <w:r>
        <w:t>マスキング手法として、置換（ランダム値への置き換え）、シャッフル（データ順序の入れ替え）、一般化（年齢→年代への変換等）を、データの特性に応じて適用する。マスキング処理は不可逆であることを保証し、マスキング済みデータから元データの復元が不可能であることを検証する。</w:t>
      </w:r>
    </w:p>
    <w:p>
      <w:r>
        <w:t>統計分析やAI/ML学習に使用するデータは、k-匿名性（k=5以上）または差分プライバシーの手法を適用し、個人の特定リスクを最小化する。匿名化データの利用にあたっても、再識別リスクの評価を実施し、リスクが許容水準を超える場合は追加の匿名化措置を講じる。データマスキングツールの選定・運用はデータ管理部が担当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