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リモートアクセスポリシー</w:t>
      </w:r>
    </w:p>
    <w:p>
      <w:pPr>
        <w:pStyle w:val="Heading1"/>
      </w:pPr>
      <w:r>
        <w:t>1. 文書管理</w:t>
      </w:r>
    </w:p>
    <w:p>
      <w:r>
        <w:t>本文書は当行の情報システムへのリモートアクセスに関する方針および利用要件を定めるものである。文書番号は ISP-005 とし、情報セキュリティポリシー（ISP-001）の下位文書として位置づける。</w:t>
      </w:r>
    </w:p>
    <w:p>
      <w:r>
        <w:t>本版は第2.1版（2025年8月1日改定）であり、前版（第2.0版、2025年2月1日）からの主な変更点は、ゼロトラストアーキテクチャの段階的導入方針の追加およびBYOD管理要件の強化である。FISC安全対策基準 技-20（リモートアクセス管理）に準拠する。</w:t>
      </w:r>
    </w:p>
    <w:p>
      <w:r>
        <w:t>本文書は、情報セキュリティポリシー（ISP-001）第8章「多要素認証」、アクセス制御ポリシー（ISP-002）、暗号化基準（ISP-003）第6章「TLS設定基準」と密接に関連しており、相互に参照しながら運用する。管理責任者は情報システム部長とする。</w:t>
      </w:r>
    </w:p>
    <w:p>
      <w:pPr>
        <w:pStyle w:val="Heading1"/>
      </w:pPr>
      <w:r>
        <w:t>2. VPN要件</w:t>
      </w:r>
    </w:p>
    <w:p>
      <w:r>
        <w:t>リモートアクセスにはVPN（Virtual Private Network）の使用を必須とし、暗号化されていない通信路での業務システムへのアクセスを禁止する。VPN方式はIPsec VPN（IKEv2）またはSSL-VPN（TLS 1.2以上）を採用する。FISC安全対策基準 技-21（VPNの適切な設定）に準拠した設定を行う。</w:t>
      </w:r>
    </w:p>
    <w:p>
      <w:r>
        <w:t>スプリットトンネリングは禁止し、VPN接続中の全通信をVPNトンネル経由とする。これにより、VPN接続中にインターネットへ直接アクセスすることによる情報漏洩リスクを排除する。VPN接続時のIPsec暗号化にはAES-256を使用し、暗号化基準（ISP-003）の要件を満たす。</w:t>
      </w:r>
    </w:p>
    <w:p>
      <w:r>
        <w:t>VPN接続にあたっては、情報セキュリティポリシー（ISP-001）第8章に定める多要素認証を必須とする。クライアント証明書による端末認証を実施し、当行が管理する端末からのみ接続を許可する。VPN接続ログはSIEMに転送し、異常なアクセスパターン（深夜時間帯の接続、海外IPからの接続等）を検知する。同時接続数は1ユーザあたり1セッションに制限し、セッション乗っ取りリスクを低減する。</w:t>
      </w:r>
    </w:p>
    <w:p>
      <w:pPr>
        <w:pStyle w:val="Heading1"/>
      </w:pPr>
      <w:r>
        <w:t>3. ゼロトラスト方針</w:t>
      </w:r>
    </w:p>
    <w:p>
      <w:r>
        <w:t>当行は、境界型セキュリティモデルからゼロトラストアーキテクチャへの段階的な移行を推進する。「Never Trust, Always Verify」の原則に基づき、ネットワークの場所に依らず、全てのアクセスリクエストを認証・認可・検証する。</w:t>
      </w:r>
    </w:p>
    <w:p>
      <w:r>
        <w:t>ゼロトラスト実現に向けた重点施策として、(1) SASE（Secure Access Service Edge）基盤の導入、(2) マイクロセグメンテーションの実装、(3) デバイス信頼性の継続的検証、(4) コンテキストベースのアクセス制御を段階的に実施する。2027年度末までにフェーズ1（SASEおよびマイクロセグメンテーション）の導入を完了する。</w:t>
      </w:r>
    </w:p>
    <w:p>
      <w:r>
        <w:t>ゼロトラスト環境においてもVPNは併用し、トンネリングによる通信保護とアプリケーションレベルのアクセス制御を多層的に適用する。アクセス制御ポリシー（ISP-002）第3章のRBAC/ABAC設計と連携し、ユーザの属性・デバイスの状態・アクセス時間・場所等のコンテキストに基づく動的なアクセス制御を実現する。</w:t>
      </w:r>
    </w:p>
    <w:p>
      <w:pPr>
        <w:pStyle w:val="Heading1"/>
      </w:pPr>
      <w:r>
        <w:t>4. エンドポイントコンプライアンス</w:t>
      </w:r>
    </w:p>
    <w:p>
      <w:r>
        <w:t>リモートアクセスに使用する端末は、当行が定めるセキュリティ基準を満たすことを接続時に自動的に検証する（検疫ネットワーク）。基準を満たさない端末は業務ネットワークへの接続を拒否する。FISC安全対策基準 技-22（端末のセキュリティ管理）に準拠した端末管理を実施する。</w:t>
      </w:r>
    </w:p>
    <w:p>
      <w:r>
        <w:t>検疫チェック項目として、(1) OSのセキュリティパッチ適用状況（最新パッチ適用後30日以内）、(2) EPP/EDRの稼働状況とパターンファイルの最新性、(3) パーソナルファイアウォールの有効化、(4) ディスク暗号化（BitLocker/FileVault）の有効化、(5) MDM（Mobile Device Management）エージェントの稼働を確認する。</w:t>
      </w:r>
    </w:p>
    <w:p>
      <w:r>
        <w:t>当行が貸与する業務端末にはMDMを導入し、リモートワイプ、アプリケーション配布制御、設定の強制適用を実施する。端末の紛失・盗難時には直ちにMDMを通じてリモートワイプを実行し、データ漏洩リスクを最小化する。リモートワイプの実行はCSIRTまたは情報システム部のヘルプデスクが24時間体制で対応する。</w:t>
      </w:r>
    </w:p>
    <w:p>
      <w:pPr>
        <w:pStyle w:val="Heading1"/>
      </w:pPr>
      <w:r>
        <w:t>5. セッション管理</w:t>
      </w:r>
    </w:p>
    <w:p>
      <w:r>
        <w:t>リモートアクセスセッションのアイドルタイムアウトは15分とし、15分間操作がない場合は自動的にセッションを切断する。セッションの最大継続時間は8時間とし、8時間経過後は再認証を要求する。FISC安全対策基準 技-23（セッション管理）に準拠した制御を実施する。</w:t>
      </w:r>
    </w:p>
    <w:p>
      <w:r>
        <w:t>同一ユーザによる同時セッション数は1に制限する。新しいセッションが開始された場合、既存のセッションは強制切断される。セッショントークンの管理にはセキュアCookie（Secure、HttpOnly、SameSite=Strict属性）を使用し、セッション固定攻撃への対策として認証成功時にセッションIDを再生成する。</w:t>
      </w:r>
    </w:p>
    <w:p>
      <w:r>
        <w:t>リモートデスクトップ（RDP）によるアクセスは、VPN接続上でのみ許可し、インターネットへの直接公開を禁止する。RDPセッションではクリップボード転送およびファイル転送を禁止し、データの不正な持ち出しを防止する。セッションの録画はPAMシステムと連携して実施し、特権操作時には必須とする。</w:t>
      </w:r>
    </w:p>
    <w:p>
      <w:pPr>
        <w:pStyle w:val="Heading1"/>
      </w:pPr>
      <w:r>
        <w:t>6. BYOD管理</w:t>
      </w:r>
    </w:p>
    <w:p>
      <w:r>
        <w:t>BYOD（Bring Your Own Device）の業務利用は、情報セキュリティ委員会が承認した範囲に限定して許可する。許可対象はメール閲覧、スケジュール確認、Web会議への参加に限定し、機密データの閲覧・編集・ダウンロードは禁止する。</w:t>
      </w:r>
    </w:p>
    <w:p>
      <w:r>
        <w:t>BYODとして使用する個人端末には、MAM（Mobile Application Management）ソリューションを導入し、業務データと個人データの論理的な分離（コンテナ化）を実施する。業務コンテナ内のデータは暗号化し、端末のロック解除には生体認証またはPINを要求する。脱獄（Jailbreak）・root化された端末からのアクセスを自動検知し、ブロックする。</w:t>
      </w:r>
    </w:p>
    <w:p>
      <w:r>
        <w:t>BYOD利用者は「私有端末業務利用同意書」に署名し、当行によるリモートワイプ（業務コンテナに限定）への同意を必須とする。BYOD端末からのアクセスログは通常の業務端末と同様に取得・保存し、情報セキュリティポリシー（ISP-001）第11章の認証ログ管理要件を適用する。BYOD利用の許可は年1回見直し、利用実態がない場合は許可を取り消す。</w:t>
      </w:r>
    </w:p>
    <w:p>
      <w:pPr>
        <w:pStyle w:val="Heading1"/>
      </w:pPr>
      <w:r>
        <w:t>7. テレワーク環境基準</w:t>
      </w:r>
    </w:p>
    <w:p>
      <w:r>
        <w:t>テレワーク（在宅勤務・サテライトオフィス勤務）を行う場合は、以下の環境基準を満たすことを必須とする。公衆Wi-Fi（カフェ、空港、ホテル等の不特定多数が利用可能な無線LAN）での業務を禁止する。FISC安全対策基準 運-30（テレワーク環境の管理）に準拠した環境を整備する。</w:t>
      </w:r>
    </w:p>
    <w:p>
      <w:r>
        <w:t>在宅勤務時の自宅Wi-Fi環境は、WPA3またはWPA2-AES（TKIP不可）による暗号化を必須とし、ルーターの管理パスワードを初期値から変更することを求める。業務中は画面ロック（離席時に5分以内で自動ロック）を設定し、覗き見防止フィルターの使用を推奨する。</w:t>
      </w:r>
    </w:p>
    <w:p>
      <w:r>
        <w:t>テレワーク中の書類印刷は原則禁止とし、やむを得ず印刷する場合はシュレッダーでの廃棄が可能な環境に限定する。機密書類の自宅への持ち出しは原則禁止とする。テレワーク中のWeb会議では、機密情報を扱う場合に家族や同居者が同席する場所での参加を避け、ヘッドセットの使用を必須とする。</w:t>
      </w:r>
    </w:p>
    <w:p>
      <w:r>
        <w:t>サテライトオフィスの利用にあたっては、当行が契約するセキュリティ基準を満たした施設のみを許可する。施設のネットワーク環境が当行のセキュリティ基準を満たすことを事前に確認し、承認済みのサテライトオフィス一覧を情報システム部が管理・公開す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