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" w:after="100"/>
      </w:pPr>
      <w:r>
        <w:rPr>
          <w:rFonts w:ascii="Calibri" w:hAnsi="Calibri"/>
          <w:b/>
          <w:color w:val="0B2545"/>
          <w:sz w:val="48"/>
        </w:rPr>
        <w:t>Master Execution Plan</w:t>
      </w:r>
    </w:p>
    <w:p>
      <w:pPr>
        <w:spacing w:after="260"/>
      </w:pPr>
      <w:r>
        <w:rPr>
          <w:rFonts w:ascii="Calibri" w:hAnsi="Calibri"/>
          <w:color w:val="5F6B7A"/>
          <w:sz w:val="25"/>
        </w:rPr>
        <w:t>Six datasets, eight fraud-GNN methods, two experimental modes</w:t>
      </w:r>
    </w:p>
    <w:p>
      <w:pPr>
        <w:spacing w:after="40"/>
      </w:pPr>
      <w:r>
        <w:rPr>
          <w:rFonts w:ascii="Calibri" w:hAnsi="Calibri"/>
          <w:b/>
          <w:color w:val="0B2545"/>
          <w:sz w:val="20"/>
        </w:rPr>
        <w:t xml:space="preserve">Prepared for: </w:t>
      </w:r>
      <w:r>
        <w:rPr>
          <w:rFonts w:ascii="Calibri" w:hAnsi="Calibri"/>
          <w:color w:val="0B2545"/>
          <w:sz w:val="20"/>
        </w:rPr>
        <w:t>COMP8851 project team and Dr Venus Haghighi</w:t>
      </w:r>
    </w:p>
    <w:p>
      <w:pPr>
        <w:spacing w:after="40"/>
      </w:pPr>
      <w:r>
        <w:rPr>
          <w:rFonts w:ascii="Calibri" w:hAnsi="Calibri"/>
          <w:b/>
          <w:color w:val="0B2545"/>
          <w:sz w:val="20"/>
        </w:rPr>
        <w:t xml:space="preserve">Updated: </w:t>
      </w:r>
      <w:r>
        <w:rPr>
          <w:rFonts w:ascii="Calibri" w:hAnsi="Calibri"/>
          <w:color w:val="0B2545"/>
          <w:sz w:val="20"/>
        </w:rPr>
        <w:t>8 September 2026</w:t>
      </w:r>
    </w:p>
    <w:p>
      <w:pPr>
        <w:spacing w:after="40"/>
      </w:pPr>
      <w:r>
        <w:rPr>
          <w:rFonts w:ascii="Calibri" w:hAnsi="Calibri"/>
          <w:b/>
          <w:color w:val="0B2545"/>
          <w:sz w:val="20"/>
        </w:rPr>
        <w:t xml:space="preserve">Status: </w:t>
      </w:r>
      <w:r>
        <w:rPr>
          <w:rFonts w:ascii="Calibri" w:hAnsi="Calibri"/>
          <w:color w:val="0B2545"/>
          <w:sz w:val="20"/>
        </w:rPr>
        <w:t>Working protocol v2 — scope locked; shared benchmark values awaiting team freeze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9"/>
              </w:rPr>
              <w:t xml:space="preserve">Authority: </w:t>
            </w:r>
            <w:r>
              <w:rPr>
                <w:rFonts w:ascii="Calibri" w:hAnsi="Calibri"/>
                <w:color w:val="0B2545"/>
                <w:sz w:val="19"/>
              </w:rPr>
              <w:t>Use this document as the current planning authority. If an older master pack, model list, or literature-review note conflicts with it, this version governs execution.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/>
          <w:b/>
          <w:color w:val="0B2545"/>
        </w:rPr>
        <w:t xml:space="preserve">Team repository: </w:t>
      </w:r>
      <w:hyperlink r:id="rId11">
        <w:r>
          <w:rPr>
            <w:color w:val="0563C1"/>
            <w:u w:val="single"/>
            <w:sz w:val="20"/>
            <w:rFonts w:ascii="Calibri" w:hAnsi="Calibri"/>
          </w:rPr>
          <w:t>https://github.com/marufkhan09/COMP8851-fraud-dataset-analysis</w:t>
        </w:r>
      </w:hyperlink>
    </w:p>
    <w:p>
      <w:pPr>
        <w:pStyle w:val="Heading1"/>
      </w:pPr>
      <w:r>
        <w:t>1. Current decisions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Item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Current decision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Datasets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YelpChi, Amazon, T-Finance, T-Social, Elliptic and FDCompCN.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Excluded from current benchmark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IEEE-CIS-G and DGraph-Fin. No replacement or excluded folder is required in the repository.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Eight methods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CARE-GNN, FRAUDRE, PC-GNN, BWGNN, GHRN, SplitGNN, PMP and DGA-GNN.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Methodology references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GADBench and BOND guide benchmark organisation; neither counts as one of the eight models.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Heterophily reference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TROPICAL (ICDM 2024), including one-hop fraud-node local heterophily and relation-aware interpretation.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Hardware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Kaggle notebook with an NVIDIA T4; expose and use GPU 0 only for controlled timing.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Experimental modes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Author-code reproduction/validation first; unified controlled benchmark second. Results must never be mixed.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Training ratios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Nested TR40, TR30, TR20 and TR10 subsets with fixed validation/test IDs; Elliptic retains chronological leakage controls.</w:t>
            </w:r>
          </w:p>
        </w:tc>
      </w:tr>
    </w:tbl>
    <w:p>
      <w:pPr>
        <w:pStyle w:val="Heading1"/>
      </w:pPr>
      <w:r>
        <w:t>2. Document hierarchy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750"/>
        <w:gridCol w:w="3600"/>
        <w:gridCol w:w="3010"/>
      </w:tblGrid>
      <w:tr>
        <w:trPr>
          <w:cantSplit/>
          <w:tblHeader w:val="true"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Document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Purpose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Repository destination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Master Execution Plan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Defines scope, gates and unresolved decisions.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docs/planning/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Eight-Model Run Guide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Universal instructions for every model owner.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docs/run-guides/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Verified Paper and Code Links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Controls model identity and official sources.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docs/references/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2020–26 literature review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Background reading only; it is not the active model roster.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docs/references/</w:t>
            </w:r>
          </w:p>
        </w:tc>
      </w:tr>
    </w:tbl>
    <w:p>
      <w:pPr>
        <w:pStyle w:val="Heading1"/>
      </w:pPr>
      <w:r>
        <w:t>3. Non-negotiable benchmark rules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Same controlled hardware does not mean one identical software environment. Each model may use an isolated author-compatible environment, while the split IDs, evaluator, hardware, seeds, timing boundaries and tuning budget are shared.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Preserve each paper’s core architecture and fraud-specific mechanism. Do not add or remove message-passing layers, replace specialised losses, change relation semantics or redesign the graph only to improve one method.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Do not force all 8 × 6 combinations. Complete a compatibility decision before each model–dataset pair: Native, Input adapter, Conditional or Not eligible.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Use validation data only for hyperparameter, checkpoint and threshold selection. The test set is evaluated once after choices are frozen.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Record every epoch’s training time and retain the raw per-epoch CSV, not only an average.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Store author-mode and unified-mode artefacts in separate result trees and use a unique Run ID for every attempt, including failures.</w:t>
      </w:r>
    </w:p>
    <w:p>
      <w:r>
        <w:br w:type="page"/>
      </w:r>
    </w:p>
    <w:p>
      <w:pPr>
        <w:pStyle w:val="Heading1"/>
      </w:pPr>
      <w:r>
        <w:t>4. Decisions that must be frozen before unified runs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9"/>
              </w:rPr>
              <w:t xml:space="preserve">Do not assume: </w:t>
            </w:r>
            <w:r>
              <w:rPr>
                <w:rFonts w:ascii="Calibri" w:hAnsi="Calibri"/>
                <w:color w:val="0B2545"/>
                <w:sz w:val="19"/>
              </w:rPr>
              <w:t>Existing PC-GNN unified templates that contain Adam, threshold 0.5 or a single seed are provisional scaffolding. They are not evidence that the team or Venus has approved those values.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050"/>
        <w:gridCol w:w="2700"/>
        <w:gridCol w:w="2600"/>
        <w:gridCol w:w="2010"/>
      </w:tblGrid>
      <w:tr>
        <w:trPr>
          <w:cantSplit/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Decision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What must be specified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Recommended starting point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Split seed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One seed used only to create/freeze static dataset node IDs.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Keep separate from training seeds; save split checksum.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Pending team freeze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Training seeds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Three shared initialisation/sampling seeds for all eligible runs.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Choose and record three values; do not call them supervisor-mandated.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Pending team freeze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Controlled optimizer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Common optimizer and common interpretation of its parameters.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Adam is provisional; log justified model exceptions.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Pending team/Venus confirmation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Tuning budget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Trials, search ranges, max epochs, patience and selection metric.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Equal budget per eligible model–dataset condition.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Pending team freeze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Threshold rule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Fixed 0.5 or validation-selected threshold with one declared objective.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Select on validation only; save the chosen threshold.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Pending team/Venus confirmation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Model ownership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Two primary models per member plus an independent reviewer.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Allocate after environment/compatibility audit.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Pending group meeting</w:t>
            </w:r>
          </w:p>
        </w:tc>
      </w:tr>
    </w:tbl>
    <w:p>
      <w:pPr>
        <w:pStyle w:val="Heading1"/>
      </w:pPr>
      <w:r>
        <w:t>5. Dataset gate</w:t>
      </w:r>
    </w:p>
    <w:p>
      <w:pPr>
        <w:spacing w:after="120"/>
      </w:pPr>
      <w:r>
        <w:rPr>
          <w:rFonts w:ascii="Calibri" w:hAnsi="Calibri"/>
          <w:i w:val="0"/>
        </w:rPr>
        <w:t>A model run may start only after the target dataset row and split file pass this gate.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Verify nodes, stored edge entries and unique undirected connections where both conventions exist; record features, fraud/normal counts, fraud percentage and imbalance ratio from the processed data.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Record node types, relation types, static/dynamic status and organic/real versus injected anomaly provenance.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Calculate global heterophily under one documented convention: labelled endpoints only, self-loop rule, direction/reverse-duplicate rule and relation-combination rule.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Make one-hop fraud-node local heterophily the primary local statistic. Retain all-node and benign-node mean, median and standard deviation as supplementary fields.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For YelpChi, Amazon and FDCompCN, report combined and relation-specific heterophily where feasible.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Freeze the split IDs and checksum them. Preserve chronological validation/test boundaries for Elliptic.</w:t>
      </w:r>
    </w:p>
    <w:p>
      <w:pPr>
        <w:pStyle w:val="Heading1"/>
      </w:pPr>
      <w:r>
        <w:t>6. Nested controlled split design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200"/>
        <w:gridCol w:w="1800"/>
        <w:gridCol w:w="1800"/>
        <w:gridCol w:w="1800"/>
        <w:gridCol w:w="2760"/>
      </w:tblGrid>
      <w:tr>
        <w:trPr>
          <w:cantSplit/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Config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Train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Validation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Test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Unused / rule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TR40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40%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20% fixed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40% fixed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0%; master training pool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TR30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30%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20% fixed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40% fixed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10%; TR30 ⊂ TR40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TR20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20%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20% fixed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40% fixed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20%; TR20 ⊂ TR30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TR10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10%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20% fixed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40% fixed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30%; TR10 ⊂ TR20</w:t>
            </w:r>
          </w:p>
        </w:tc>
      </w:tr>
    </w:tbl>
    <w:p>
      <w:pPr>
        <w:spacing w:before="80" w:after="80"/>
      </w:pPr>
      <w:r>
        <w:rPr>
          <w:rFonts w:ascii="Calibri" w:hAnsi="Calibri"/>
          <w:i/>
          <w:color w:val="5F6B7A"/>
          <w:sz w:val="17"/>
        </w:rPr>
        <w:t>For Elliptic, percentages must be implemented within the chronological training region; later validation and test periods remain untouched.</w:t>
      </w:r>
    </w:p>
    <w:p>
      <w:r>
        <w:br w:type="page"/>
      </w:r>
    </w:p>
    <w:p>
      <w:pPr>
        <w:pStyle w:val="Heading1"/>
      </w:pPr>
      <w:r>
        <w:t>7. Model compatibility and environment gate</w:t>
      </w:r>
    </w:p>
    <w:p>
      <w:pPr>
        <w:spacing w:after="120"/>
      </w:pPr>
      <w:r>
        <w:rPr>
          <w:rFonts w:ascii="Calibri" w:hAnsi="Calibri"/>
          <w:i w:val="0"/>
        </w:rPr>
        <w:t>The table below is a starting map of author-repository support, not automatic eligibility. Each owner must verify the exact commit, data representation and command before marking PASS.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450"/>
        <w:gridCol w:w="3510"/>
        <w:gridCol w:w="2140"/>
        <w:gridCol w:w="2260"/>
      </w:tblGrid>
      <w:tr>
        <w:trPr>
          <w:cantSplit/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Model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Author-repository dataset path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Mechanism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Current gate status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CARE-GNN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YelpChi; Amazon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Camouflage-resistant relation-aware selection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Audit required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FRAUDRE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YelpChi; Amazon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Inconsistency + imbalance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Audit required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PC-GNN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YelpChi; Amazon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Class-balanced sampling + neighbour selection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Local CPU validation complete; Kaggle T4 pending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BWGNN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YelpChi; Amazon; T-Finance; T-Social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Beta-wavelet spectral filtering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Audit required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GHRN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YelpChi; Amazon; T-Finance; T-Social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Heterophily-aware spectral pruning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Audit required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SplitGNN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YelpChi; Amazon; FDCompCN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Split spectral channels for heterophily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Audit required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PMP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YelpChi; Amazon; T-Finance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Partitioned homo/heterophilic messages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Existing feasibility evidence; standard audit still required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DGA-GNN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YelpChi; Amazon; T-Finance; T-Social; Elliptic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Dynamic grouping + hierarchical aggregation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Audit required</w:t>
            </w:r>
          </w:p>
        </w:tc>
      </w:tr>
    </w:tbl>
    <w:p>
      <w:pPr>
        <w:spacing w:before="80" w:after="80"/>
      </w:pPr>
      <w:r>
        <w:rPr>
          <w:rFonts w:ascii="Calibri" w:hAnsi="Calibri"/>
          <w:i/>
          <w:color w:val="5F6B7A"/>
          <w:sz w:val="17"/>
        </w:rPr>
        <w:t>Native support means the official repository names or supplies that dataset. It does not guarantee compatibility with the team’s processed version or unified split.</w:t>
      </w:r>
    </w:p>
    <w:p>
      <w:pPr>
        <w:pStyle w:val="Heading1"/>
      </w:pPr>
      <w:r>
        <w:t>8. Required two-column environment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120"/>
        <w:gridCol w:w="3620"/>
        <w:gridCol w:w="3620"/>
      </w:tblGrid>
      <w:tr>
        <w:trPr>
          <w:cantSplit/>
          <w:tblHeader w:val="true"/>
        </w:trPr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Field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Paper / author repository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Actual environment used</w:t>
            </w:r>
          </w:p>
        </w:tc>
      </w:tr>
      <w:tr>
        <w:trPr>
          <w:cantSplit/>
        </w:trPr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Repository URL + commit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Owner must extract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Owner must capture from run</w:t>
            </w:r>
          </w:p>
        </w:tc>
      </w:tr>
      <w:tr>
        <w:trPr>
          <w:cantSplit/>
        </w:trPr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Python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Owner must extract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Owner must capture from run</w:t>
            </w:r>
          </w:p>
        </w:tc>
      </w:tr>
      <w:tr>
        <w:trPr>
          <w:cantSplit/>
        </w:trPr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Torch / TensorFlow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Owner must extract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Owner must capture from run</w:t>
            </w:r>
          </w:p>
        </w:tc>
      </w:tr>
      <w:tr>
        <w:trPr>
          <w:cantSplit/>
        </w:trPr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DGL / PyG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Owner must extract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Owner must capture from run</w:t>
            </w:r>
          </w:p>
        </w:tc>
      </w:tr>
      <w:tr>
        <w:trPr>
          <w:cantSplit/>
        </w:trPr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CUDA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Owner must extract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Owner must capture from run</w:t>
            </w:r>
          </w:p>
        </w:tc>
      </w:tr>
      <w:tr>
        <w:trPr>
          <w:cantSplit/>
        </w:trPr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GPU + VRAM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Owner must extract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Owner must capture from run</w:t>
            </w:r>
          </w:p>
        </w:tc>
      </w:tr>
      <w:tr>
        <w:trPr>
          <w:cantSplit/>
        </w:trPr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Dataset version + features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Owner must extract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Owner must capture from run</w:t>
            </w:r>
          </w:p>
        </w:tc>
      </w:tr>
      <w:tr>
        <w:trPr>
          <w:cantSplit/>
        </w:trPr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Entry command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Owner must extract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Owner must capture from run</w:t>
            </w:r>
          </w:p>
        </w:tc>
      </w:tr>
      <w:tr>
        <w:trPr>
          <w:cantSplit/>
        </w:trPr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Modifications / patch hash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Owner must extract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Owner must capture from run</w:t>
            </w:r>
          </w:p>
        </w:tc>
      </w:tr>
    </w:tbl>
    <w:p>
      <w:pPr>
        <w:pStyle w:val="Heading1"/>
      </w:pPr>
      <w:r>
        <w:t>9. Universal run sequence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Verify the official paper, official repository and target commit in the links register.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Create an isolated model environment and save both requested versions and actually installed versions.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Create the compatibility decision for the intended dataset before editing code.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Run a one- or two-epoch smoke test and save the failure or PASS artefacts.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Run author mode using the paper/repository data, split, optimizer, threshold and reporting rules as faithfully as possible.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Classify the outcome as exact reproduction, approximate reproduction, local author-code validation or feasibility only; explain every deviation.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Freeze the shared seeds, optimizer, threshold policy and tuning budget before beginning unified mode.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Run unified TR40, TR30, TR20 and TR10 using frozen split IDs and the shared evaluator.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Record per-epoch times, total training time, average epoch time, inference time and peak GPU memory where feasible.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Open a peer-reviewed pull request containing configurations, environment, logs, metrics, timing and a short result interpretation.</w:t>
      </w:r>
    </w:p>
    <w:p>
      <w:r>
        <w:br w:type="page"/>
      </w:r>
    </w:p>
    <w:p>
      <w:pPr>
        <w:pStyle w:val="Heading1"/>
      </w:pPr>
      <w:r>
        <w:t>10. PC-GNN evidence already obtained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300"/>
        <w:gridCol w:w="706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Field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0B2545"/>
                <w:sz w:val="18"/>
              </w:rPr>
              <w:t>Verified current record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Source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Supplied clean author repository snapshot; commit 9d7d7fae491081178b6e12e193fb89cfc330f2be.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Local environment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macOS 26.6.2 arm64; Python 3.14.3; PyTorch 2.13.0; CPU only.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Author repository requirements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PyTorch 1.4.0, NumPy ≥1.16.4, SciPy ≥1.2.1, scikit-learn ≥0.21rc2 and NetworkX ≤1.11.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Dataset caveat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The local run used 32-dimensional YelpChi features; the paper reports results using the older 100-dimensional features.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Completed local run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51 epochs, seed 72, threshold 0.5, Adam, train ratio 0.4; test AUROC 0.8178, Macro-F1 0.6530 and G-Mean 0.7408.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Instrumented smoke test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2 epochs; structured artefacts saved; average training epoch time 1.828146 s; test AUROC 0.7503. This is a functionality/timing check, not performance evidence.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Correct label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Local author-code validation / approximate reproduction attempt — not exact paper reproduction and not unified benchmark evidence.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Next PC-GNN action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TableText"/>
            </w:pPr>
            <w:r>
              <w:rPr>
                <w:rFonts w:ascii="Calibri" w:hAnsi="Calibri"/>
                <w:color w:val="0B2545"/>
                <w:sz w:val="18"/>
              </w:rPr>
              <w:t>Repeat on the frozen Kaggle T4 environment, capture GPU timing, then run author-mode settings before any unified ratios.</w:t>
            </w:r>
          </w:p>
        </w:tc>
      </w:tr>
    </w:tbl>
    <w:p>
      <w:pPr>
        <w:pStyle w:val="Heading1"/>
      </w:pPr>
      <w:r>
        <w:t>11. Run ID and artefact contract</w:t>
      </w:r>
    </w:p>
    <w:p>
      <w:pPr>
        <w:spacing w:after="120"/>
      </w:pPr>
      <w:r>
        <w:rPr>
          <w:rFonts w:ascii="Calibri" w:hAnsi="Calibri"/>
          <w:i w:val="0"/>
        </w:rPr>
        <w:t>Run ID format: YYYYMMDDThhmmssZ_&lt;model&gt;_&lt;dataset&gt;_&lt;mode&gt;_&lt;ratio&gt;_splitS&lt;seed&gt;_trainS&lt;seed&gt;.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run_manifest.json — Run ID, source commit, dataset checksum, split seed, training seed, hardware and mode.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config.yaml — exact effective configuration after defaults and command-line overrides.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environment.txt — Python, packages, CUDA, GPU name/VRAM and operating system.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stdout.log and changes.patch — complete output plus every change from upstream.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epoch_times.csv — epoch, training seconds, optional validation seconds and cumulative time.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metrics.json — AUROC, AUPRC/AP, Macro-F1, fraud F1, G-Mean, fraud precision/recall and selected threshold.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status.md — PASS, CONDITIONAL or FAIL, deviation classification and one-paragraph interpretation.</w:t>
      </w:r>
    </w:p>
    <w:p>
      <w:pPr>
        <w:pStyle w:val="Heading1"/>
      </w:pPr>
      <w:r>
        <w:t>12. Repository placement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Keep raw datasets, checkpoints and large prediction files out of Git; store official download instructions and checksums instead.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Clone author repositories outside the team repository. Commit the exact upstream URL/commit, patches, adapters, configs and result artefacts; do not accidentally commit a nested .git directory.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Use models/&lt;model&gt;/ for each model’s README, configs, scripts, environment record and patches.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Use results/author-reproduction/ and results/unified/ as separate trees.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Use shared/splits/, shared/evaluator/, shared/timing/ and shared/templates/ for the frozen common assets.</w:t>
      </w:r>
    </w:p>
    <w:p>
      <w:pPr>
        <w:pStyle w:val="Heading1"/>
      </w:pPr>
      <w:r>
        <w:t>13. Next team meeting — decisions and evidence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Confirm eight-model ownership and reviewer pairs.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Freeze one split seed, three training seeds, the controlled optimizer, tuning budget and threshold policy.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Review the six-dataset audit and model–dataset compatibility matrix.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Review PC-GNN local evidence using the correct classification; do not present CPU timing as comparable GPU timing.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Assign the next smoke tests and set a single merge deadline for environment manifests and per-epoch timing output.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F6B7A"/>
        <w:sz w:val="18"/>
      </w:rPr>
      <w:t xml:space="preserve">COMP8851 | Page </w:t>
    </w:r>
    <w:r>
      <w:rPr>
        <w:rFonts w:ascii="Calibri" w:hAnsi="Calibri"/>
        <w:color w:val="5F6B7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F6B7A"/>
        <w:sz w:val="17"/>
      </w:rPr>
      <w:t>COMP8851 | Master execution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before="0" w:after="40" w:line="259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marufkhan09/COMP8851-fraud-dataset-analy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