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" w:after="100"/>
      </w:pPr>
      <w:r>
        <w:rPr>
          <w:rFonts w:ascii="Calibri" w:hAnsi="Calibri"/>
          <w:b/>
          <w:color w:val="0B2545"/>
          <w:sz w:val="48"/>
        </w:rPr>
        <w:t>Verified Paper and Code Register</w:t>
      </w:r>
    </w:p>
    <w:p>
      <w:pPr>
        <w:spacing w:after="260"/>
      </w:pPr>
      <w:r>
        <w:rPr>
          <w:rFonts w:ascii="Calibri" w:hAnsi="Calibri"/>
          <w:color w:val="5F6B7A"/>
          <w:sz w:val="25"/>
        </w:rPr>
        <w:t>Authoritative identities for the current eight-model benchmark</w:t>
      </w:r>
    </w:p>
    <w:p>
      <w:pPr>
        <w:spacing w:after="40"/>
      </w:pPr>
      <w:r>
        <w:rPr>
          <w:rFonts w:ascii="Calibri" w:hAnsi="Calibri"/>
          <w:b/>
          <w:color w:val="0B2545"/>
          <w:sz w:val="20"/>
        </w:rPr>
        <w:t xml:space="preserve">Prepared for: </w:t>
      </w:r>
      <w:r>
        <w:rPr>
          <w:rFonts w:ascii="Calibri" w:hAnsi="Calibri"/>
          <w:color w:val="0B2545"/>
          <w:sz w:val="20"/>
        </w:rPr>
        <w:t>COMP8851 project team and Dr Venus Haghighi</w:t>
      </w:r>
    </w:p>
    <w:p>
      <w:pPr>
        <w:spacing w:after="40"/>
      </w:pPr>
      <w:r>
        <w:rPr>
          <w:rFonts w:ascii="Calibri" w:hAnsi="Calibri"/>
          <w:b/>
          <w:color w:val="0B2545"/>
          <w:sz w:val="20"/>
        </w:rPr>
        <w:t xml:space="preserve">Updated: </w:t>
      </w:r>
      <w:r>
        <w:rPr>
          <w:rFonts w:ascii="Calibri" w:hAnsi="Calibri"/>
          <w:color w:val="0B2545"/>
          <w:sz w:val="20"/>
        </w:rPr>
        <w:t>8 September 2026</w:t>
      </w:r>
    </w:p>
    <w:p>
      <w:pPr>
        <w:spacing w:after="40"/>
      </w:pPr>
      <w:r>
        <w:rPr>
          <w:rFonts w:ascii="Calibri" w:hAnsi="Calibri"/>
          <w:b/>
          <w:color w:val="0B2545"/>
          <w:sz w:val="20"/>
        </w:rPr>
        <w:t xml:space="preserve">Status: </w:t>
      </w:r>
      <w:r>
        <w:rPr>
          <w:rFonts w:ascii="Calibri" w:hAnsi="Calibri"/>
          <w:color w:val="0B2545"/>
          <w:sz w:val="20"/>
        </w:rPr>
        <w:t>Reference register v2 — replaces older mixed candidate lists for execution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4EA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9"/>
              </w:rPr>
              <w:t xml:space="preserve">Execution scope: </w:t>
            </w:r>
            <w:r>
              <w:rPr>
                <w:rFonts w:ascii="Calibri" w:hAnsi="Calibri"/>
                <w:color w:val="0B2545"/>
                <w:sz w:val="19"/>
              </w:rPr>
              <w:t>Use only the eight model rows below to initialise current model folders. Other papers remain background or reserves unless the team explicitly changes the roster.</w:t>
            </w:r>
          </w:p>
        </w:tc>
      </w:tr>
    </w:tbl>
    <w:p>
      <w:pPr>
        <w:spacing w:after="0"/>
      </w:pPr>
    </w:p>
    <w:p>
      <w:pPr>
        <w:pStyle w:val="Heading1"/>
      </w:pPr>
      <w:r>
        <w:t>1. Current eight models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1350"/>
        <w:gridCol w:w="800"/>
        <w:gridCol w:w="1450"/>
        <w:gridCol w:w="2200"/>
        <w:gridCol w:w="1400"/>
        <w:gridCol w:w="216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Model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Year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Venue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Paper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Code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Role / verification note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CARE-GNN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2020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CIKM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11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DOI</w:t>
              </w:r>
            </w:hyperlink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12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GitHub</w:t>
              </w:r>
            </w:hyperlink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Foundational camouflage-resistant fraud GNN.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FRAUDRE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2021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ICDM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13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DOI</w:t>
              </w:r>
            </w:hyperlink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14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GitHub</w:t>
              </w:r>
            </w:hyperlink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Dual focus on graph inconsistency and imbalance.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PC-GNN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2021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WWW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15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DOI</w:t>
              </w:r>
            </w:hyperlink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16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GitHub</w:t>
              </w:r>
            </w:hyperlink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Author code warns paper used older 100-D Yelp features.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BWGNN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2022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ICML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17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PMLR</w:t>
              </w:r>
            </w:hyperlink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18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GitHub</w:t>
              </w:r>
            </w:hyperlink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Official source for T-Finance and T-Social.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GHRN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2023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WWW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1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DOI</w:t>
              </w:r>
            </w:hyperlink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20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GitHub</w:t>
              </w:r>
            </w:hyperlink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Graph-spectrum method targeting heterophily.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SplitGNN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2023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CIKM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21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DOI</w:t>
              </w:r>
            </w:hyperlink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22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GitHub</w:t>
              </w:r>
            </w:hyperlink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Official code includes FDCompCN support/configuration.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PMP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2024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ICLR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23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OpenReview</w:t>
              </w:r>
            </w:hyperlink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24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GitHub</w:t>
              </w:r>
            </w:hyperlink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Partitioning for homo/heterophilic messages and imbalance.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DGA-GNN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2024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AAAI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25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DOI</w:t>
              </w:r>
            </w:hyperlink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26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GitHub</w:t>
              </w:r>
            </w:hyperlink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Venue corrected to AAAI 2024; official code covers five current datasets.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5F6B7A"/>
          <w:sz w:val="17"/>
        </w:rPr>
        <w:t>Paper links resolve to publisher or conference records. Code links point to the repositories identified by the papers or author project pages.</w:t>
      </w:r>
    </w:p>
    <w:p>
      <w:pPr>
        <w:pStyle w:val="Heading1"/>
      </w:pPr>
      <w:r>
        <w:t>2. Methodology references — not benchmark models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1500"/>
        <w:gridCol w:w="1500"/>
        <w:gridCol w:w="2760"/>
        <w:gridCol w:w="1500"/>
        <w:gridCol w:w="2100"/>
      </w:tblGrid>
      <w:tr>
        <w:trPr>
          <w:cantSplit/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Reference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Venue/year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Paper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Code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Use in this project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GADBench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NeurIPS 2023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27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Paper</w:t>
              </w:r>
            </w:hyperlink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28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GitHub</w:t>
              </w:r>
            </w:hyperlink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Supervised graph-anomaly benchmark discipline: repeated trials, shared evaluation, tuning and runtime reporting.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BOND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NeurIPS 2022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2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Paper</w:t>
              </w:r>
            </w:hyperlink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30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Code</w:t>
              </w:r>
            </w:hyperlink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Unsupervised outlier-node benchmark; use for runtime, memory and reproducibility practices, not task equivalence.</w:t>
            </w:r>
          </w:p>
        </w:tc>
      </w:tr>
    </w:tbl>
    <w:p>
      <w:pPr>
        <w:pStyle w:val="Heading1"/>
      </w:pPr>
      <w:r>
        <w:t>3. Heterophily-method reference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1500"/>
        <w:gridCol w:w="1500"/>
        <w:gridCol w:w="2760"/>
        <w:gridCol w:w="1500"/>
        <w:gridCol w:w="2100"/>
      </w:tblGrid>
      <w:tr>
        <w:trPr>
          <w:cantSplit/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Reference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Venue/year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Paper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Code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Use in this project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TROPICAL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ICDM 2024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31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IEEE</w:t>
              </w:r>
            </w:hyperlink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32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GitHub</w:t>
              </w:r>
            </w:hyperlink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Methodological reference for local/global heterophily, one-hop fraud-node interpretation, relation-level analysis and camouflage.</w:t>
            </w:r>
          </w:p>
        </w:tc>
      </w:tr>
    </w:tbl>
    <w:p>
      <w:pPr>
        <w:spacing w:before="80" w:after="80"/>
      </w:pPr>
      <w:r>
        <w:rPr>
          <w:rFonts w:ascii="Calibri" w:hAnsi="Calibri"/>
          <w:i/>
          <w:color w:val="5F6B7A"/>
          <w:sz w:val="17"/>
        </w:rPr>
        <w:t>TROPICAL DOI: 10.1109/ICDM59182.2024.00019. The supplied ICDM-Venus-2024 PDF is the paper identified in the meeting discussion.</w:t>
      </w:r>
    </w:p>
    <w:p>
      <w:pPr>
        <w:pStyle w:val="Heading1"/>
      </w:pPr>
      <w:r>
        <w:t>4. Repository and execution identity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Item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Verified rule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Team repository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hyperlink r:id="rId33">
              <w:r>
                <w:rPr>
                  <w:color w:val="0563C1"/>
                  <w:u w:val="single"/>
                  <w:sz w:val="18"/>
                  <w:rFonts w:ascii="Calibri" w:hAnsi="Calibri"/>
                </w:rPr>
                <w:t>https://github.com/marufkhan09/COMP8851-fraud-dataset-analysis</w:t>
              </w:r>
            </w:hyperlink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Upstream commit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Record a full 40-character commit hash before any code change.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Local patch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Save git diff or a patch file; explain every change and whether it affects architecture, data, evaluation or only instrumentation.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Model folder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 folder name does not establish provenance. README must name the official paper, official upstream repository and commit.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Literature review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2020–26_Relevant_Papers_Combined.pdf remains background. It is broader than the active eight-model roster.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Old candidate lists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RioGNN, GAT-COBO, GraphConsis and other candidates do not belong in the current run guide unless formally activated as reserves.</w:t>
            </w:r>
          </w:p>
        </w:tc>
      </w:tr>
    </w:tbl>
    <w:p>
      <w:pPr>
        <w:pStyle w:val="Heading1"/>
      </w:pPr>
      <w:r>
        <w:t>5. Model identity checklist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Paper title and proposed model acronym match.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Publisher/conference record and year match.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Repository is linked from the paper, author project page or official benchmark source.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Repository commit is saved before modifications.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Licence and dataset redistribution restrictions are reviewed.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Paper dataset version, feature dimension and split protocol are recorded.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Requested dependency versions and actually installed versions are both saved.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Any third-party implementation is labelled as such and never silently substituted for author code.</w:t>
      </w:r>
    </w:p>
    <w:p>
      <w:pPr>
        <w:pStyle w:val="Heading1"/>
      </w:pPr>
      <w:r>
        <w:t>6. Corrections incorporated from older files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C3D0"/>
          <w:left w:val="single" w:sz="6" w:space="0" w:color="B7C3D0"/>
          <w:bottom w:val="single" w:sz="6" w:space="0" w:color="B7C3D0"/>
          <w:right w:val="single" w:sz="6" w:space="0" w:color="B7C3D0"/>
          <w:insideH w:val="single" w:sz="6" w:space="0" w:color="B7C3D0"/>
          <w:insideV w:val="single" w:sz="6" w:space="0" w:color="B7C3D0"/>
        </w:tblBorders>
      </w:tblPr>
      <w:tblGrid>
        <w:gridCol w:w="3300"/>
        <w:gridCol w:w="6060"/>
      </w:tblGrid>
      <w:tr>
        <w:trPr>
          <w:cantSplit/>
          <w:tblHeader w:val="true"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Older statement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TableText"/>
            </w:pPr>
            <w:r>
              <w:rPr>
                <w:rFonts w:ascii="Calibri" w:hAnsi="Calibri"/>
                <w:b/>
                <w:color w:val="0B2545"/>
                <w:sz w:val="18"/>
              </w:rPr>
              <w:t>Current correction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Heterophily paper uncertain / possibly GHRN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The supplied paper is TROPICAL, ICDM 2024; GHRN remains one of the eight models.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RioGNN and GAT-COBO in the eight-model allocation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Removed from the active eight; SplitGNN and DGA-GNN are included.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DGA-GNN listed as SIGKDD 2024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Correct venue is AAAI 2024, volume 38(10), pages 11820–11828.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GitHub repository unavailable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Current repository is https://github.com/marufkhan09/COMP8851-fraud-dataset-analysis.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One common environment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Use model-specific isolated environments on the same controlled Kaggle T4 hardware.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A single seed field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Separate split_seed from the shared repeated train_seed values.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Provisional values treated as final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pStyle w:val="TableText"/>
            </w:pPr>
            <w:r>
              <w:rPr>
                <w:rFonts w:ascii="Calibri" w:hAnsi="Calibri"/>
                <w:color w:val="0B2545"/>
                <w:sz w:val="18"/>
              </w:rPr>
              <w:t>Optimizer, training seeds, tuning budget and threshold rule remain pending until explicitly frozen.</w:t>
            </w:r>
          </w:p>
        </w:tc>
      </w:tr>
    </w:tbl>
    <w:p>
      <w:pPr>
        <w:pStyle w:val="Heading1"/>
      </w:pPr>
      <w:r>
        <w:t>7. Citation-ready references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Dou, Y., Liu, Z., Sun, L., Deng, Y., Peng, H., &amp; Yu, P. S. (2020). Enhancing graph neural network-based fraud detectors against camouflaged fraudsters. CIKM. https://doi.org/10.1145/3340531.3411903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Zhang, G., et al. (2021). FRAUDRE: Fraud detection dual-resistant to graph inconsistency and imbalance. ICDM. https://doi.org/10.1109/ICDM51629.2021.00098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Liu, Y., et al. (2021). Pick and choose: A GNN-based imbalanced learning approach for fraud detection. The Web Conference, 3168–3177. https://doi.org/10.1145/3442381.3449989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Tang, J., Li, J., Gao, Z., &amp; Li, J. (2022). Rethinking graph neural networks for anomaly detection. ICML, PMLR 162, 21076–21089.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Gao, Y., et al. (2023). Addressing heterophily in graph anomaly detection: A perspective of graph spectrum. The Web Conference. https://doi.org/10.1145/3543507.3583268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Wu, B., et al. (2023). SplitGNN: Spectral graph neural network for fraud detection against heterophily. CIKM. https://doi.org/10.1145/3583780.3615067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Zhuo, W., et al. (2024). Partitioning message passing for graph fraud detection. ICLR.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Duan, M., Zheng, T., Gao, Y., Wang, G., Feng, Z., &amp; Wang, X. (2024). DGA-GNN: Dynamic grouping aggregation GNN for fraud detection. AAAI, 38(10), 11820–11828. https://doi.org/10.1609/aaai.v38i10.29067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Haghighi, V., et al. (2024). TROPICAL: Transformer-based hypergraph learning for camouflaged fraudster detection. ICDM, 121–130. https://doi.org/10.1109/ICDM59182.2024.00019</w:t>
      </w:r>
    </w:p>
    <w:p>
      <w:pPr>
        <w:spacing w:before="80" w:after="80"/>
      </w:pPr>
      <w:r>
        <w:rPr>
          <w:rFonts w:ascii="Calibri" w:hAnsi="Calibri"/>
          <w:i/>
          <w:color w:val="5F6B7A"/>
          <w:sz w:val="17"/>
        </w:rPr>
        <w:t>Use the course-required reference style in the final report. This register primarily controls identity and links, not final bibliography styling.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5F6B7A"/>
        <w:sz w:val="18"/>
      </w:rPr>
      <w:t xml:space="preserve">COMP8851 | Page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F6B7A"/>
        <w:sz w:val="17"/>
      </w:rPr>
      <w:t>COMP8851 | Verified paper and code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40" w:line="259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i.org/10.1145/3340531.3411903" TargetMode="External"/><Relationship Id="rId12" Type="http://schemas.openxmlformats.org/officeDocument/2006/relationships/hyperlink" Target="https://github.com/YingtongDou/CARE-GNN" TargetMode="External"/><Relationship Id="rId13" Type="http://schemas.openxmlformats.org/officeDocument/2006/relationships/hyperlink" Target="https://doi.org/10.1109/ICDM51629.2021.00098" TargetMode="External"/><Relationship Id="rId14" Type="http://schemas.openxmlformats.org/officeDocument/2006/relationships/hyperlink" Target="https://github.com/FraudDetection/FRAUDRE" TargetMode="External"/><Relationship Id="rId15" Type="http://schemas.openxmlformats.org/officeDocument/2006/relationships/hyperlink" Target="https://doi.org/10.1145/3442381.3449989" TargetMode="External"/><Relationship Id="rId16" Type="http://schemas.openxmlformats.org/officeDocument/2006/relationships/hyperlink" Target="https://github.com/PonderLY/PC-GNN" TargetMode="External"/><Relationship Id="rId17" Type="http://schemas.openxmlformats.org/officeDocument/2006/relationships/hyperlink" Target="https://proceedings.mlr.press/v162/tang22b.html" TargetMode="External"/><Relationship Id="rId18" Type="http://schemas.openxmlformats.org/officeDocument/2006/relationships/hyperlink" Target="https://github.com/squareRoot3/Rethinking-Anomaly-Detection" TargetMode="External"/><Relationship Id="rId19" Type="http://schemas.openxmlformats.org/officeDocument/2006/relationships/hyperlink" Target="https://doi.org/10.1145/3543507.3583268" TargetMode="External"/><Relationship Id="rId20" Type="http://schemas.openxmlformats.org/officeDocument/2006/relationships/hyperlink" Target="https://github.com/blacksingular/GHRN" TargetMode="External"/><Relationship Id="rId21" Type="http://schemas.openxmlformats.org/officeDocument/2006/relationships/hyperlink" Target="https://doi.org/10.1145/3583780.3615067" TargetMode="External"/><Relationship Id="rId22" Type="http://schemas.openxmlformats.org/officeDocument/2006/relationships/hyperlink" Target="https://github.com/split-gnn/splitgnn" TargetMode="External"/><Relationship Id="rId23" Type="http://schemas.openxmlformats.org/officeDocument/2006/relationships/hyperlink" Target="https://openreview.net/forum?id=tEgrUrUuwA" TargetMode="External"/><Relationship Id="rId24" Type="http://schemas.openxmlformats.org/officeDocument/2006/relationships/hyperlink" Target="https://github.com/Xtra-Computing/PMP" TargetMode="External"/><Relationship Id="rId25" Type="http://schemas.openxmlformats.org/officeDocument/2006/relationships/hyperlink" Target="https://doi.org/10.1609/aaai.v38i10.29067" TargetMode="External"/><Relationship Id="rId26" Type="http://schemas.openxmlformats.org/officeDocument/2006/relationships/hyperlink" Target="https://github.com/AtwoodDuan/DGA-GNN" TargetMode="External"/><Relationship Id="rId27" Type="http://schemas.openxmlformats.org/officeDocument/2006/relationships/hyperlink" Target="https://proceedings.neurips.cc/paper_files/paper/2023/hash/5eaafd67434a4cfb1cf829722c65f184-Abstract-Datasets_and_Benchmarks.html" TargetMode="External"/><Relationship Id="rId28" Type="http://schemas.openxmlformats.org/officeDocument/2006/relationships/hyperlink" Target="https://github.com/squareRoot3/GADBench" TargetMode="External"/><Relationship Id="rId29" Type="http://schemas.openxmlformats.org/officeDocument/2006/relationships/hyperlink" Target="https://papers.nips.cc/paper_files/paper/2022/hash/acc1ec4a9c780006c9aafd595104816b-Abstract-Datasets_and_Benchmarks.html" TargetMode="External"/><Relationship Id="rId30" Type="http://schemas.openxmlformats.org/officeDocument/2006/relationships/hyperlink" Target="https://github.com/pygod-team/pygod/tree/main/benchmark" TargetMode="External"/><Relationship Id="rId31" Type="http://schemas.openxmlformats.org/officeDocument/2006/relationships/hyperlink" Target="https://ieeexplore.ieee.org/document/10884140/" TargetMode="External"/><Relationship Id="rId32" Type="http://schemas.openxmlformats.org/officeDocument/2006/relationships/hyperlink" Target="https://github.com/VenusHaghighi/TROPICAL" TargetMode="External"/><Relationship Id="rId33" Type="http://schemas.openxmlformats.org/officeDocument/2006/relationships/hyperlink" Target="https://github.com/marufkhan09/COMP8851-fraud-dataset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