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</w:pPr>
      <w:r>
        <w:rPr>
          <w:b/>
          <w:color w:val="0F172A"/>
          <w:sz w:val="32"/>
        </w:rPr>
        <w:t>Status matrix - FINAL protocol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YelpChi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Amazon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T-Finance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Elliptic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FDCompCN</w:t>
            </w:r>
          </w:p>
        </w:tc>
        <w:tc>
          <w:tcPr>
            <w:tcW w:type="dxa" w:w="2179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T-Social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 (TR40)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COMPLETED</w:t>
              <w:br/>
              <w:t>0.506 ±0.024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0.878 ±0.010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0.812 ±0.060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0.703 ±0.007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0.197 ±0.077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0.883 ±0.004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 (TR40)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COMPLETED</w:t>
              <w:br/>
              <w:t>0.729 ±0.008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0.915 ±0.001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0.905 ±0.006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0.613 ±0.058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0.224 ±0.024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0.962 ±0.012</w:t>
            </w:r>
          </w:p>
        </w:tc>
      </w:tr>
      <w:tr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(TR40)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COMPLETED</w:t>
              <w:br/>
              <w:t>0.584 ±0.076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0.855 ±0.032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0.810 ±0.004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0.469 ±0.041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0.109 ±0.003</w:t>
            </w:r>
          </w:p>
        </w:tc>
        <w:tc>
          <w:tcPr>
            <w:tcW w:type="dxa" w:w="2179"/>
            <w:shd w:val="clear" w:color="auto" w:fill="EFF6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COMPLETED</w:t>
              <w:br/>
              <w:t>0.772 ±0.046</w:t>
            </w:r>
          </w:p>
        </w:tc>
      </w:tr>
    </w:tbl>
    <w:p>
      <w:pPr>
        <w:spacing w:before="40" w:after="80"/>
      </w:pPr>
    </w:p>
    <w:p>
      <w:pPr>
        <w:spacing w:before="40" w:after="60"/>
      </w:pPr>
      <w:r>
        <w:rPr>
          <w:b w:val="0"/>
          <w:sz w:val="20"/>
        </w:rPr>
        <w:t>Cells show status and test AUPRC (mean ± sample SD over completed seeds).</w:t>
      </w:r>
    </w:p>
    <w:p>
      <w:pPr>
        <w:spacing w:before="40" w:after="60"/>
      </w:pPr>
      <w:r>
        <w:rPr>
          <w:b w:val="0"/>
          <w:sz w:val="20"/>
        </w:rPr>
        <w:t>Reasons for every non-completed seed:</w:t>
      </w: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