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2AC07" w14:textId="3110A634" w:rsidR="00D018BB" w:rsidRDefault="00000000">
      <w:pPr>
        <w:spacing w:after="60"/>
      </w:pPr>
      <w:r>
        <w:rPr>
          <w:rFonts w:cs="Arial"/>
          <w:b/>
          <w:bCs/>
          <w:sz w:val="28"/>
          <w:szCs w:val="28"/>
        </w:rPr>
        <w:t>PMP Benchmark Findings — Controlled Study (YelpChi, Amazon, T-Finance, FDCompCN complete; Elliptic started)</w:t>
      </w:r>
    </w:p>
    <w:p w14:paraId="630E68AD" w14:textId="77777777" w:rsidR="00D018BB" w:rsidRDefault="00000000">
      <w:pPr>
        <w:spacing w:after="110"/>
      </w:pPr>
      <w:r>
        <w:rPr>
          <w:rFonts w:cs="Arial"/>
          <w:i/>
          <w:iCs/>
          <w:color w:val="5F5E5A"/>
        </w:rPr>
        <w:t>COMP8851 Graph Fraud Benchmark  |  RTX A6000 48GB  |  48 final runs, 4/5 datasets complete  |  17 September 2026</w:t>
      </w:r>
    </w:p>
    <w:p w14:paraId="3AD29069" w14:textId="77777777" w:rsidR="00D018BB" w:rsidRDefault="00000000">
      <w:pPr>
        <w:spacing w:after="70"/>
      </w:pPr>
      <w:r>
        <w:rPr>
          <w:rFonts w:cs="Arial"/>
        </w:rPr>
        <w:t>Scope. This report consolidates the executed PMP (Partitioning Message Passing) evidence for YelpChi, Amazon, T-Finance and FDCompCN under the project's controlled protocol — four complete 4-ratio × 3-seed grids (48 final runs) on the RTX A6000. Elliptic is included in Table 1 for completeness since it will enter this study, but its PMP run has not started; its cells are left blank rather than estimated. Predictive performance is reported across seven metrics — AUPRC, AUROC, Macro-F1, fraud precision, fraud recall, fraud F1, and G-Mean — for all four completed datasets.</w:t>
      </w:r>
    </w:p>
    <w:p w14:paraId="3AFAE4A3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Executive Findings</w:t>
      </w:r>
    </w:p>
    <w:p w14:paraId="4622088C" w14:textId="11A2217A" w:rsidR="00D018BB" w:rsidRDefault="00000000">
      <w:pPr>
        <w:spacing w:after="60"/>
        <w:ind w:left="260"/>
      </w:pPr>
      <w:r>
        <w:rPr>
          <w:rFonts w:cs="Arial"/>
        </w:rPr>
        <w:t>•  Four of five datasets (YelpChi, Amazon, T-Finance, FDCompCN) have complete 4-ratio × 3-seed grids on the RTX A6000, verified against each dataset's own final-run archive and dataset/split SHA256 hashes. Elliptic's PMP run has started.</w:t>
      </w:r>
    </w:p>
    <w:p w14:paraId="22AEB9B4" w14:textId="77777777" w:rsidR="00D018BB" w:rsidRDefault="00000000">
      <w:pPr>
        <w:spacing w:after="60"/>
        <w:ind w:left="260"/>
      </w:pPr>
      <w:r>
        <w:rPr>
          <w:rFonts w:cs="Arial"/>
        </w:rPr>
        <w:t>•  Amazon is the strongest completed dataset for PMP: TR40 AUPRC 0.9077 ± 0.0043, AUROC 0.9739 ± 0.0029, with high fraud precision (0.9263) alongside strong recall (0.7866).</w:t>
      </w:r>
    </w:p>
    <w:p w14:paraId="2416F5E0" w14:textId="77777777" w:rsidR="00D018BB" w:rsidRDefault="00000000">
      <w:pPr>
        <w:spacing w:after="60"/>
        <w:ind w:left="260"/>
      </w:pPr>
      <w:r>
        <w:rPr>
          <w:rFonts w:cs="Arial"/>
        </w:rPr>
        <w:t>•  YelpChi is now complete: TR40 AUPRC 0.7577 ± 0.0032, AUROC 0.9355 ± 0.0018 — clearly behind Amazon and T-Finance, but well above FDCompCN, and it declines steadily as labelled data shrinks (AUPRC 0.7577 at TR40 to 0.6484 at TR10).</w:t>
      </w:r>
    </w:p>
    <w:p w14:paraId="1FE350CB" w14:textId="77777777" w:rsidR="00D018BB" w:rsidRDefault="00000000">
      <w:pPr>
        <w:spacing w:after="60"/>
        <w:ind w:left="260"/>
      </w:pPr>
      <w:r>
        <w:rPr>
          <w:rFonts w:cs="Arial"/>
        </w:rPr>
        <w:t>•  T-Finance is close behind Amazon and slightly non-monotonic across ratios — AUPRC peaks at TR30 (0.9034) rather than TR40 (0.9013), a small three-seed variation rather than a large swing.</w:t>
      </w:r>
    </w:p>
    <w:p w14:paraId="6E9F3AFC" w14:textId="77777777" w:rsidR="00D018BB" w:rsidRDefault="00000000">
      <w:pPr>
        <w:spacing w:after="60"/>
        <w:ind w:left="260"/>
      </w:pPr>
      <w:r>
        <w:rPr>
          <w:rFonts w:cs="Arial"/>
        </w:rPr>
        <w:t>•  FDCompCN's representation is confirmed clean: the runner log explicitly records SEMANTIC_RELATIONS=invest_bc2bc, provide_bc2bc, sale_bc2bc and HOMO_AS_FOURTH_RELATION=NO, meaning the three real relations were each used once with no duplication from the dataset's pre-combined homo key. FDCompCN's AUPRC (0.121–0.130 across ratios) is nonetheless the weakest of the four completed datasets, consistent with this being a genuinely difficult graph for message-passing methods rather than a representation artefact.</w:t>
      </w:r>
    </w:p>
    <w:p w14:paraId="6DA6BB12" w14:textId="77777777" w:rsidR="00D018BB" w:rsidRDefault="00000000">
      <w:pPr>
        <w:spacing w:after="60"/>
        <w:ind w:left="260"/>
      </w:pPr>
      <w:r>
        <w:rPr>
          <w:rFonts w:cs="Arial"/>
        </w:rPr>
        <w:t>•  All four completed datasets use the same core PMP settings (n_layer=1, relation_agg=cat, resi=0.2), with hidden dimension, learning rate, weight decay, dropout and batch size independently tuned per dataset under an equal 12-trial budget — YelpChi's winning hidden size (48) and batch size (512) are both the most distinct from the other three, reflecting its own independent tuning outcome rather than a shared default.</w:t>
      </w:r>
    </w:p>
    <w:p w14:paraId="3063A68A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1. Dataset Scale, Labels, and Execution Status</w:t>
      </w:r>
    </w:p>
    <w:tbl>
      <w:tblPr>
        <w:tblW w:w="11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800"/>
        <w:gridCol w:w="1550"/>
        <w:gridCol w:w="1700"/>
        <w:gridCol w:w="1000"/>
        <w:gridCol w:w="1750"/>
        <w:gridCol w:w="1050"/>
        <w:gridCol w:w="1900"/>
      </w:tblGrid>
      <w:tr w:rsidR="00D018BB" w14:paraId="15C72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F8BF7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18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729E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Task / domain</w:t>
            </w:r>
          </w:p>
        </w:tc>
        <w:tc>
          <w:tcPr>
            <w:tcW w:w="15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04B2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Nodes</w:t>
            </w:r>
          </w:p>
        </w:tc>
        <w:tc>
          <w:tcPr>
            <w:tcW w:w="17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00F4A2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Edges</w:t>
            </w:r>
          </w:p>
        </w:tc>
        <w:tc>
          <w:tcPr>
            <w:tcW w:w="10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5CB4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Features</w:t>
            </w:r>
          </w:p>
        </w:tc>
        <w:tc>
          <w:tcPr>
            <w:tcW w:w="17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44809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Fraud / normal</w:t>
            </w:r>
          </w:p>
        </w:tc>
        <w:tc>
          <w:tcPr>
            <w:tcW w:w="10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60F3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Fraud %</w:t>
            </w:r>
          </w:p>
        </w:tc>
        <w:tc>
          <w:tcPr>
            <w:tcW w:w="19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2ECE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PMP outcome</w:t>
            </w:r>
          </w:p>
        </w:tc>
      </w:tr>
      <w:tr w:rsidR="00D018BB" w14:paraId="6431A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A08A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A1B2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Online review spam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F602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45,954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8CDF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3,846,979 logical 7,693,958 stored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1C0F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32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A392F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6,677 / 39,277</w:t>
            </w:r>
          </w:p>
        </w:tc>
        <w:tc>
          <w:tcPr>
            <w:tcW w:w="10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4A47D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14.53%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3578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relation-aware path; unified complete</w:t>
            </w:r>
          </w:p>
        </w:tc>
      </w:tr>
      <w:tr w:rsidR="00D018BB" w14:paraId="648E6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D660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18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F280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Product-review user fraud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6065F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11,944 total 8,639 supervised</w:t>
            </w:r>
          </w:p>
        </w:tc>
        <w:tc>
          <w:tcPr>
            <w:tcW w:w="17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33CBF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4,398,392 logical 8,796,784 stored</w:t>
            </w:r>
          </w:p>
        </w:tc>
        <w:tc>
          <w:tcPr>
            <w:tcW w:w="1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5389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25</w:t>
            </w:r>
          </w:p>
        </w:tc>
        <w:tc>
          <w:tcPr>
            <w:tcW w:w="17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F8117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821 / 7,818</w:t>
            </w:r>
          </w:p>
        </w:tc>
        <w:tc>
          <w:tcPr>
            <w:tcW w:w="10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C275D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9.50% of labelled</w:t>
            </w:r>
          </w:p>
        </w:tc>
        <w:tc>
          <w:tcPr>
            <w:tcW w:w="19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30A09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homogeneous; unified complete</w:t>
            </w:r>
          </w:p>
        </w:tc>
      </w:tr>
      <w:tr w:rsidR="00D018BB" w14:paraId="3CF44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24436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39C27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Financial account anomaly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6547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39,357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42BE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21,222,543 ref.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8C94B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10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17E5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1,804 / 37,553</w:t>
            </w:r>
          </w:p>
        </w:tc>
        <w:tc>
          <w:tcPr>
            <w:tcW w:w="10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92F0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4.58%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E857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homogeneous; unified complete</w:t>
            </w:r>
          </w:p>
        </w:tc>
      </w:tr>
      <w:tr w:rsidR="00D018BB" w14:paraId="058E6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AA009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18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E4CEF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Company fraud / risk network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E478C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5,317</w:t>
            </w:r>
          </w:p>
        </w:tc>
        <w:tc>
          <w:tcPr>
            <w:tcW w:w="17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F93F3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3,634 logical union (3 semantic relations)</w:t>
            </w:r>
          </w:p>
        </w:tc>
        <w:tc>
          <w:tcPr>
            <w:tcW w:w="1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BA0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57</w:t>
            </w:r>
          </w:p>
        </w:tc>
        <w:tc>
          <w:tcPr>
            <w:tcW w:w="17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2DE4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559 / 4,758</w:t>
            </w:r>
          </w:p>
        </w:tc>
        <w:tc>
          <w:tcPr>
            <w:tcW w:w="10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563E4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10.51%</w:t>
            </w:r>
          </w:p>
        </w:tc>
        <w:tc>
          <w:tcPr>
            <w:tcW w:w="19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1217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multi-relational; unified complete</w:t>
            </w:r>
          </w:p>
        </w:tc>
      </w:tr>
      <w:tr w:rsidR="00D018BB" w14:paraId="571AF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5805F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Elliptic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E9135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Bitcoin illicit transaction detection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6F4A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203,769 total 46,564 labelled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55A0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234,355 directed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CC905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166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C96D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4,545 / 42,019</w:t>
            </w:r>
          </w:p>
        </w:tc>
        <w:tc>
          <w:tcPr>
            <w:tcW w:w="10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74440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9.76% of labelled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27478" w14:textId="77777777" w:rsidR="00D018BB" w:rsidRDefault="00D018BB">
            <w:pPr>
              <w:spacing w:after="30"/>
            </w:pPr>
          </w:p>
        </w:tc>
      </w:tr>
    </w:tbl>
    <w:p w14:paraId="402DB104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Edge counts follow the same logical/stored distinction used elsewhere in this project. FDCompCN's edge count is reported as the 3-relation logical union only, since PMP's own runner confirmed the pre-combined homo key was not included (§7).</w:t>
      </w:r>
    </w:p>
    <w:p w14:paraId="33ECB2CE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2. Common Controlled Comparison Conditions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9000"/>
      </w:tblGrid>
      <w:tr w:rsidR="00D018BB" w14:paraId="00303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4663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Item</w:t>
            </w:r>
          </w:p>
        </w:tc>
        <w:tc>
          <w:tcPr>
            <w:tcW w:w="90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1727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Fixed rule used in this PMP study</w:t>
            </w:r>
          </w:p>
        </w:tc>
      </w:tr>
      <w:tr w:rsidR="00D018BB" w14:paraId="3A8EB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40A82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Experimental-mode separation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4034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Author-code reproduction/validation and unified controlled results are kept separate. This report uses unified benchmark results only; modes are never mixed.</w:t>
            </w:r>
          </w:p>
        </w:tc>
      </w:tr>
      <w:tr w:rsidR="00D018BB" w14:paraId="0C0E2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5699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Official source identity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FD2F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PMP (Partitioning Message Passing) reference implementation; frozen commit 3f7629f6c180891a0bc1bba3c66d94d288a1ddae.</w:t>
            </w:r>
          </w:p>
        </w:tc>
      </w:tr>
      <w:tr w:rsidR="00D018BB" w14:paraId="7A9CE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544C5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lastRenderedPageBreak/>
              <w:t>Controlled hardware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1801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NVIDIA RTX A6000 48GB, single GPU, for all completed final runs.</w:t>
            </w:r>
          </w:p>
        </w:tc>
      </w:tr>
      <w:tr w:rsidR="00D018BB" w14:paraId="0CBBC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08065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Static nested split design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6A9AA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TR40 = 40% train / 20% fixed validation / 40% fixed test. TR30, TR20 and TR10 are nested subsets of TR40, leaving 10%, 20% and 30% unused respectively; validation and test IDs stay fixed.</w:t>
            </w:r>
          </w:p>
        </w:tc>
      </w:tr>
      <w:tr w:rsidR="00D018BB" w14:paraId="283D3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DE39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Split seed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C045A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Frozen split identity recorded per dataset (see §12); split IDs are kept separate from training seeds.</w:t>
            </w:r>
          </w:p>
        </w:tc>
      </w:tr>
      <w:tr w:rsidR="00D018BB" w14:paraId="5CCCA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B06AB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Final training seeds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0BB28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2, 42 and 72 for every completed unified ratio, on every dataset.</w:t>
            </w:r>
          </w:p>
        </w:tc>
      </w:tr>
      <w:tr w:rsidR="00D018BB" w14:paraId="7E097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E5DAF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Equal tuning budget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6CBFD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Maximum 12 learning-rate/weight-decay trials per dataset on TR40 with training seed 2; the winning configuration is frozen for TR30/TR20/TR10. Author-supported architecture and dropout are held fixed rather than swept, consistent with the study's tuning policy.</w:t>
            </w:r>
          </w:p>
        </w:tc>
      </w:tr>
      <w:tr w:rsidR="00D018BB" w14:paraId="0DC25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245C2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Checkpoint selection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4AFC6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Best checkpoint selected by validation AUPRC only.</w:t>
            </w:r>
          </w:p>
        </w:tc>
      </w:tr>
      <w:tr w:rsidR="00D018BB" w14:paraId="328E9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C47C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Test isolation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AB3C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Test data is never used for hyperparameter, checkpoint or threshold selection; confirmed PASS on every completed dataset.</w:t>
            </w:r>
          </w:p>
        </w:tc>
      </w:tr>
      <w:tr w:rsidR="00D018BB" w14:paraId="6706D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2D21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Compatibility / architecture rule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3934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Each dataset is classified before final runs as native homogeneous, native multi-relational, input-adapter, or not eligible. PMP's core architecture and mechanism are never redesigned to force a result.</w:t>
            </w:r>
          </w:p>
        </w:tc>
      </w:tr>
      <w:tr w:rsidR="00D018BB" w14:paraId="0240B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EA6CC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Reported metrics</w:t>
            </w:r>
          </w:p>
        </w:tc>
        <w:tc>
          <w:tcPr>
            <w:tcW w:w="90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192F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AUPRC, AUROC, Macro-F1, fraud precision, fraud recall, fraud F1 and G-Mean are reported for every completed dataset and ratio.</w:t>
            </w:r>
          </w:p>
        </w:tc>
      </w:tr>
      <w:tr w:rsidR="00D018BB" w14:paraId="32C88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DDC8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Efficiency evidence</w:t>
            </w:r>
          </w:p>
        </w:tc>
        <w:tc>
          <w:tcPr>
            <w:tcW w:w="90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1CBE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Per-epoch training time and peak GPU memory are recorded per run, separately from predictive accuracy.</w:t>
            </w:r>
          </w:p>
        </w:tc>
      </w:tr>
    </w:tbl>
    <w:p w14:paraId="5137C3E8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These controls mirror the project's frozen execution plan already applied to other models in this study: shared split/evaluator/hardware/seed/tuning rules are fixed, while model integrity is preserved and unsupported model–dataset pairs are never forced.</w:t>
      </w:r>
    </w:p>
    <w:p w14:paraId="63636BE7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3. Frozen PMP Configuration by Dataset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1150"/>
        <w:gridCol w:w="1150"/>
        <w:gridCol w:w="1400"/>
        <w:gridCol w:w="1300"/>
        <w:gridCol w:w="1150"/>
        <w:gridCol w:w="2450"/>
      </w:tblGrid>
      <w:tr w:rsidR="00D018BB" w14:paraId="4F32A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F67D6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25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AF84A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Compatibility / execution</w:t>
            </w:r>
          </w:p>
        </w:tc>
        <w:tc>
          <w:tcPr>
            <w:tcW w:w="11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81344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Learning rate</w:t>
            </w:r>
          </w:p>
        </w:tc>
        <w:tc>
          <w:tcPr>
            <w:tcW w:w="11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EEB9F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Weight decay</w:t>
            </w:r>
          </w:p>
        </w:tc>
        <w:tc>
          <w:tcPr>
            <w:tcW w:w="14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2013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Hidden dim</w:t>
            </w:r>
          </w:p>
        </w:tc>
        <w:tc>
          <w:tcPr>
            <w:tcW w:w="13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D5554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Dropout</w:t>
            </w:r>
          </w:p>
        </w:tc>
        <w:tc>
          <w:tcPr>
            <w:tcW w:w="11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5446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Layers</w:t>
            </w:r>
          </w:p>
        </w:tc>
        <w:tc>
          <w:tcPr>
            <w:tcW w:w="24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E2BC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Frozen treatment</w:t>
            </w:r>
          </w:p>
        </w:tc>
      </w:tr>
      <w:tr w:rsidR="00D018BB" w14:paraId="5104B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56FDCB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34BC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relation-aware path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00FB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0.010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B8300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1e-5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6839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48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3CB1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0.00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22B6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</w:t>
            </w:r>
          </w:p>
        </w:tc>
        <w:tc>
          <w:tcPr>
            <w:tcW w:w="2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7312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Winner trial 2 (batch 512); best tuning val AUPRC confirmed at TR40; frozen unchanged for all final ratios</w:t>
            </w:r>
          </w:p>
        </w:tc>
      </w:tr>
      <w:tr w:rsidR="00D018BB" w14:paraId="5A227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5B5E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2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0A5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homogeneous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360C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0.010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3B2C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1e-5</w:t>
            </w:r>
          </w:p>
        </w:tc>
        <w:tc>
          <w:tcPr>
            <w:tcW w:w="1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4DDD3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256</w:t>
            </w:r>
          </w:p>
        </w:tc>
        <w:tc>
          <w:tcPr>
            <w:tcW w:w="1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BB8C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0.60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BAC0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</w:t>
            </w:r>
          </w:p>
        </w:tc>
        <w:tc>
          <w:tcPr>
            <w:tcW w:w="2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3D30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Frozen; homo=True, relation_agg=cat, full_neighbors=True, resi=0.2; reused for all final ratios</w:t>
            </w:r>
          </w:p>
        </w:tc>
      </w:tr>
      <w:tr w:rsidR="00D018BB" w14:paraId="06C79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84E5D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37F7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homogeneous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CED6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0.001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5BD8E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1e-5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9D5CB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64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FA3B1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0.40</w:t>
            </w:r>
          </w:p>
        </w:tc>
        <w:tc>
          <w:tcPr>
            <w:tcW w:w="11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A7EB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</w:t>
            </w:r>
          </w:p>
        </w:tc>
        <w:tc>
          <w:tcPr>
            <w:tcW w:w="2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9ACD6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Frozen; homo=True, relation_agg=cat, full_neighbors=True, resi=0.2; reused for all final ratios</w:t>
            </w:r>
          </w:p>
        </w:tc>
      </w:tr>
      <w:tr w:rsidR="00D018BB" w14:paraId="69658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00601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2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3666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Native multi-relational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2B576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0.001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55A3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1e-5</w:t>
            </w:r>
          </w:p>
        </w:tc>
        <w:tc>
          <w:tcPr>
            <w:tcW w:w="1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36E1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64</w:t>
            </w:r>
          </w:p>
        </w:tc>
        <w:tc>
          <w:tcPr>
            <w:tcW w:w="13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2337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0.00</w:t>
            </w:r>
          </w:p>
        </w:tc>
        <w:tc>
          <w:tcPr>
            <w:tcW w:w="11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DBD1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</w:t>
            </w:r>
          </w:p>
        </w:tc>
        <w:tc>
          <w:tcPr>
            <w:tcW w:w="2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BF93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Frozen; homo=False, three semantic relations only (no combined-view duplication); relation_agg=cat, resi=0.2</w:t>
            </w:r>
          </w:p>
        </w:tc>
      </w:tr>
    </w:tbl>
    <w:p w14:paraId="77665139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Different datasets can legitimately have different winning hyperparameters because fairness comes from an equal tuning budget and validation-only selection, not from forcing one parameter set onto graphs with very different scale, features and structure. Author-supported architectural settings (n_layer, relation_agg, resi) are held fixed rather than tuned, per the study's tuning policy.</w:t>
      </w:r>
    </w:p>
    <w:p w14:paraId="2B470087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4. Core Test Performance Across Training-Label Availability — All Metrics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950"/>
        <w:gridCol w:w="1550"/>
        <w:gridCol w:w="1550"/>
        <w:gridCol w:w="1550"/>
        <w:gridCol w:w="1650"/>
        <w:gridCol w:w="1550"/>
        <w:gridCol w:w="1500"/>
        <w:gridCol w:w="1450"/>
      </w:tblGrid>
      <w:tr w:rsidR="00D018BB" w14:paraId="577A2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C087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9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CC93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Split</w:t>
            </w:r>
          </w:p>
        </w:tc>
        <w:tc>
          <w:tcPr>
            <w:tcW w:w="15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91227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AUPRC</w:t>
            </w:r>
          </w:p>
        </w:tc>
        <w:tc>
          <w:tcPr>
            <w:tcW w:w="15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4325B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AUROC</w:t>
            </w:r>
          </w:p>
        </w:tc>
        <w:tc>
          <w:tcPr>
            <w:tcW w:w="15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CA1F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Macro-F1</w:t>
            </w:r>
          </w:p>
        </w:tc>
        <w:tc>
          <w:tcPr>
            <w:tcW w:w="16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DDFC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Fraud precision</w:t>
            </w:r>
          </w:p>
        </w:tc>
        <w:tc>
          <w:tcPr>
            <w:tcW w:w="15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E18A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Fraud recall</w:t>
            </w:r>
          </w:p>
        </w:tc>
        <w:tc>
          <w:tcPr>
            <w:tcW w:w="15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580B5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Fraud F1</w:t>
            </w:r>
          </w:p>
        </w:tc>
        <w:tc>
          <w:tcPr>
            <w:tcW w:w="14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7941F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G-Mean</w:t>
            </w:r>
          </w:p>
        </w:tc>
      </w:tr>
      <w:tr w:rsidR="00D018BB" w14:paraId="50246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2EAA8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50435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TR40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48C6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0.7577±0.0032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BC29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0.9355±0.0018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5971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0.8030±0.0035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612A1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0.6262±0.0179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986FB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0.7150±0.0204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1FA7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0.6673±0.0051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2C2B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0.8141±0.0087</w:t>
            </w:r>
          </w:p>
        </w:tc>
      </w:tr>
      <w:tr w:rsidR="00D018BB" w14:paraId="255FA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E6863B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8429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TR30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EE3A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0.7451±0.0065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F9CB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0.9309±0.0019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BCA4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0.8012±0.0027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4D0A9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0.6571±0.0171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C578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0.6644±0.0113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624D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0.6606±0.0033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F32E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0.7906±0.0043</w:t>
            </w:r>
          </w:p>
        </w:tc>
      </w:tr>
      <w:tr w:rsidR="00D018BB" w14:paraId="354EE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110C70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7217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TR20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AD67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0.7100±0.0044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1D0E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0.9213±0.0011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A8AAB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0.7871±0.0011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A75D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0.6039±0.0087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8866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0.6811±0.0172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85B6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0.6400±0.0030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77DB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0.7933±0.0081</w:t>
            </w:r>
          </w:p>
        </w:tc>
      </w:tr>
      <w:tr w:rsidR="00D018BB" w14:paraId="155D9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6640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82A4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TR10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A8F1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0.6484±0.0111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FCF5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0.9023±0.0014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193E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0.7648±0.0019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4865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0.5710±0.0093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3C8D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0.6368±0.0194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CFAB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0.6019±0.0044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9DAD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0.7647±0.0094</w:t>
            </w:r>
          </w:p>
        </w:tc>
      </w:tr>
      <w:tr w:rsidR="00D018BB" w14:paraId="365FF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69C9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lastRenderedPageBreak/>
              <w:t>Amazon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239F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TR40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60B1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0.9077±0.0043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44A68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0.9739±0.0029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B5913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0.9180±0.0048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FB9D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0.9263±0.0151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9AAC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0.7866±0.0260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8575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0.8504±0.0091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BAE13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0.8839±0.0139</w:t>
            </w:r>
          </w:p>
        </w:tc>
      </w:tr>
      <w:tr w:rsidR="00D018BB" w14:paraId="14E7A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32FC6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2C7A6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TR30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61639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0.8998±0.0071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76AD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0.9731±0.0031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A3D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0.9223±0.0020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DF921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0.9268±0.0282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44D4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0.7998±0.0156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545E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0.8583±0.0033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71AB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0.8913±0.0074</w:t>
            </w:r>
          </w:p>
        </w:tc>
      </w:tr>
      <w:tr w:rsidR="00D018BB" w14:paraId="151B7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6914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B009B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TR20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72734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0.8924±0.0030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BE0A1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0.9695±0.0010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517C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0.9151±0.0012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BCF7F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0.9384±0.0343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1A90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0.7693±0.0208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3F4E5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0.8449±0.0018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D016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0.8746±0.0103</w:t>
            </w:r>
          </w:p>
        </w:tc>
      </w:tr>
      <w:tr w:rsidR="00D018BB" w14:paraId="76249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906B2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6C132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TR10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27CAC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0.8359±0.0096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A5D9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0.9420±0.0044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5B0B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0.9018±0.0007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9392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0.9048±0.0136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F2F48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0.7510±0.0093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C751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0.8207±0.0013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542E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0.8630±0.0048</w:t>
            </w:r>
          </w:p>
        </w:tc>
      </w:tr>
      <w:tr w:rsidR="00D018BB" w14:paraId="295A8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1655C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A7C2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TR40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89B4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0.9013±0.0096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4A1A2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0.9708±0.0015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B4EA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0.9203±0.0042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5EEE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0.8699±0.0304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8B0CA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0.8278±0.0225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7047D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0.8478±0.0079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1DF2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0.9070±0.0116</w:t>
            </w:r>
          </w:p>
        </w:tc>
      </w:tr>
      <w:tr w:rsidR="00D018BB" w14:paraId="0777C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84141C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4371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TR30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C11FD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0.9034±0.0013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ED8A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0.9722±0.0038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F9D02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0.9217±0.0014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B2B04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0.8849±0.0269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2133F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0.8190±0.0199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2551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0.8503±0.0026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17BB4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0.9026±0.0104</w:t>
            </w:r>
          </w:p>
        </w:tc>
      </w:tr>
      <w:tr w:rsidR="00D018BB" w14:paraId="1E8BB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5AC3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CC0A5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TR20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B4FE4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0.8813±0.0063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8BA16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0.9660±0.0061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B4AA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0.9132±0.0016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2AB90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0.8874±0.0223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9711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0.7872±0.0222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4BC5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0.8339±0.0031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F999B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0.8850±0.0120</w:t>
            </w:r>
          </w:p>
        </w:tc>
      </w:tr>
      <w:tr w:rsidR="00D018BB" w14:paraId="7352B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CA85D5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D43B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TR10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B058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0.8552±0.0255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F6A7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0.9500±0.0206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4A13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0.9058±0.0118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7A6F9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0.8704±0.0440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89453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0.7752±0.0125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F407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0.8197±0.0224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A03D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0.8779±0.0074</w:t>
            </w:r>
          </w:p>
        </w:tc>
      </w:tr>
      <w:tr w:rsidR="00D018BB" w14:paraId="7D00D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563F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F9ADD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TR40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FBFA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0.1233±0.0028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B8C86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0.5587±0.0114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DFE7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0.5069±0.0031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4851F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0.1190±0.0071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DE4D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0.1071±0.0045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12A6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0.1126±0.0027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5906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0.3115±0.0054</w:t>
            </w:r>
          </w:p>
        </w:tc>
      </w:tr>
      <w:tr w:rsidR="00D018BB" w14:paraId="41F0F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322BB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8367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TR30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EB84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0.1303±0.0037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0E425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0.5531±0.0149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D438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0.5076±0.0034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51F1C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0.1190±0.0053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F7598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0.1176±0.0157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165A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0.1181±0.0105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5B5E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0.3243±0.0201</w:t>
            </w:r>
          </w:p>
        </w:tc>
      </w:tr>
      <w:tr w:rsidR="00D018BB" w14:paraId="5E53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BCCC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4CE5B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TR20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14452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0.1275±0.0044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E26E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0.5417±0.0206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6A90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0.5106±0.0036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E83B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0.1267±0.0099</w:t>
            </w:r>
          </w:p>
        </w:tc>
        <w:tc>
          <w:tcPr>
            <w:tcW w:w="15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EF38E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0.1131±0.0112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67C03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0.1190±0.0049</w:t>
            </w:r>
          </w:p>
        </w:tc>
        <w:tc>
          <w:tcPr>
            <w:tcW w:w="14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5582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0.3200±0.0135</w:t>
            </w:r>
          </w:p>
        </w:tc>
      </w:tr>
      <w:tr w:rsidR="00D018BB" w14:paraId="6B4F3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FE351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9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6A93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TR10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5726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0.1211±0.0077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1A1D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0.5197±0.0148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FAB49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0.5029±0.0051</w:t>
            </w:r>
          </w:p>
        </w:tc>
        <w:tc>
          <w:tcPr>
            <w:tcW w:w="16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DAAA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0.1110±0.0085</w:t>
            </w:r>
          </w:p>
        </w:tc>
        <w:tc>
          <w:tcPr>
            <w:tcW w:w="15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917F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0.1012±0.0220</w:t>
            </w:r>
          </w:p>
        </w:tc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DA5C1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0.1055±0.0163</w:t>
            </w:r>
          </w:p>
        </w:tc>
        <w:tc>
          <w:tcPr>
            <w:tcW w:w="14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CB38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0.3012±0.0321</w:t>
            </w:r>
          </w:p>
        </w:tc>
      </w:tr>
    </w:tbl>
    <w:p w14:paraId="58DA6B6A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Values are mean ± sample standard deviation over training seeds 2, 42 and 72 (n−1 convention). Higher is better throughout. No single column should be read in isolation — Amazon's high fraud precision (0.926–0.938) alongside somewhat lower recall (0.751–0.800) describes a different behaviour than FDCompCN's uniformly low precision and recall together.</w:t>
      </w:r>
    </w:p>
    <w:p w14:paraId="4E57ACBB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5. Cross-Dataset AUPRC View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2100"/>
        <w:gridCol w:w="2100"/>
        <w:gridCol w:w="2100"/>
        <w:gridCol w:w="2100"/>
      </w:tblGrid>
      <w:tr w:rsidR="00D018BB" w14:paraId="2CA4B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A590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Train subset</w:t>
            </w:r>
          </w:p>
        </w:tc>
        <w:tc>
          <w:tcPr>
            <w:tcW w:w="21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5316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Amazon</w:t>
            </w:r>
          </w:p>
        </w:tc>
        <w:tc>
          <w:tcPr>
            <w:tcW w:w="21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C47B62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T-Finance</w:t>
            </w:r>
          </w:p>
        </w:tc>
        <w:tc>
          <w:tcPr>
            <w:tcW w:w="21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E1EF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FDCompCN</w:t>
            </w:r>
          </w:p>
        </w:tc>
        <w:tc>
          <w:tcPr>
            <w:tcW w:w="21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6C4B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YelpChi</w:t>
            </w:r>
          </w:p>
        </w:tc>
      </w:tr>
      <w:tr w:rsidR="00D018BB" w14:paraId="7815D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37912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TR40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8CCE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0.9077±0.0043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A83A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0.9013±0.0096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4A6D0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0.1233±0.0028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6401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0.7577±0.0032</w:t>
            </w:r>
          </w:p>
        </w:tc>
      </w:tr>
      <w:tr w:rsidR="00D018BB" w14:paraId="3AD14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01A97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TR30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F7BE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0.8998±0.0071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D1D50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0.9034±0.0013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6C55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0.1303±0.0037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D52E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0.7451±0.0065</w:t>
            </w:r>
          </w:p>
        </w:tc>
      </w:tr>
      <w:tr w:rsidR="00D018BB" w14:paraId="512B4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51D55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TR20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336F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0.8924±0.0030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11587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0.8813±0.0063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7B647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0.1275±0.0044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9C22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0.7100±0.0044</w:t>
            </w:r>
          </w:p>
        </w:tc>
      </w:tr>
      <w:tr w:rsidR="00D018BB" w14:paraId="2B6E0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10AB2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TR10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40B5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0.8359±0.0096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480D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0.8552±0.0255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FAFB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0.1211±0.0077</w:t>
            </w:r>
          </w:p>
        </w:tc>
        <w:tc>
          <w:tcPr>
            <w:tcW w:w="21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33EF3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0.6484±0.0111</w:t>
            </w:r>
          </w:p>
        </w:tc>
      </w:tr>
    </w:tbl>
    <w:p w14:paraId="36AE85D3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This table gives the fastest cross-dataset view of label efficiency for the same model. Amazon and T-Finance remain close to each other and both strong across all ratios; YelpChi sits a clear step behind both; FDCompCN remains low throughout.</w:t>
      </w:r>
    </w:p>
    <w:p w14:paraId="6050D0C2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6. Computational Efficiency at TR40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400"/>
        <w:gridCol w:w="2400"/>
        <w:gridCol w:w="2600"/>
      </w:tblGrid>
      <w:tr w:rsidR="00D018BB" w14:paraId="70BFE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58BE7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24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4E633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Mean train / epoch</w:t>
            </w:r>
          </w:p>
        </w:tc>
        <w:tc>
          <w:tcPr>
            <w:tcW w:w="24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FFEBC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Total train (mean; epochs per seed)</w:t>
            </w:r>
          </w:p>
        </w:tc>
        <w:tc>
          <w:tcPr>
            <w:tcW w:w="24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0C1B5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Peak GPU memory</w:t>
            </w:r>
          </w:p>
        </w:tc>
        <w:tc>
          <w:tcPr>
            <w:tcW w:w="26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82609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Evidence note</w:t>
            </w:r>
          </w:p>
        </w:tc>
      </w:tr>
      <w:tr w:rsidR="00D018BB" w14:paraId="4293A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F1C49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CDF2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18.60±1.19 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8E13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1217.58±602.31 s (57/51/91 epochs)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93AD0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159.3±0.0 MB (train/val); 524.9 MB peak overall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0CC8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Primary A6000 final run</w:t>
            </w:r>
          </w:p>
        </w:tc>
      </w:tr>
      <w:tr w:rsidR="00D018BB" w14:paraId="5B8FE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A932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D275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16.52±0.08 s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1B60CA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1322.36±717.11 s (100/40/100 epochs)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5D0EF4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158.6±0.7 MB (train/val)</w:t>
            </w:r>
          </w:p>
        </w:tc>
        <w:tc>
          <w:tcPr>
            <w:tcW w:w="2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13A439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Primary A6000 final run</w:t>
            </w:r>
          </w:p>
        </w:tc>
      </w:tr>
      <w:tr w:rsidR="00D018BB" w14:paraId="63E4E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78A4C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8146B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1.46±1.37 s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82FB2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47.70±20.50 s (33/29/34 epochs)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8E540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149.4±22.9 MB (train/val)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F8DE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Primary A6000 final run</w:t>
            </w:r>
          </w:p>
        </w:tc>
      </w:tr>
      <w:tr w:rsidR="00D018BB" w14:paraId="6064D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1875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02178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11.36±0.18 s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C963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1046.20±171.20 s (76/100/100 epochs)</w:t>
            </w:r>
          </w:p>
        </w:tc>
        <w:tc>
          <w:tcPr>
            <w:tcW w:w="24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B9A7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154.7±0.0 MB (train/val)</w:t>
            </w:r>
          </w:p>
        </w:tc>
        <w:tc>
          <w:tcPr>
            <w:tcW w:w="2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1A2F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Primary A6000 final run</w:t>
            </w:r>
          </w:p>
        </w:tc>
      </w:tr>
    </w:tbl>
    <w:p w14:paraId="18A4A547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Total-train figures vary substantially across seeds because PMP's early stopping let different seeds run for different numbers of epochs (e.g. Amazon: 57/51/91) before reaching their best validation checkpoint — this is expected behaviour, not a timing anomaly. Cross-host runtime comparison remains subject to the project's hardware-calibration gate, per the evidence's own recorded timing note.</w:t>
      </w:r>
    </w:p>
    <w:p w14:paraId="7F654604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7. Dataset-Specific Validity Notes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600"/>
        <w:gridCol w:w="2700"/>
      </w:tblGrid>
      <w:tr w:rsidR="00D018BB" w14:paraId="4565F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C149E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lastRenderedPageBreak/>
              <w:t>Dataset</w:t>
            </w:r>
          </w:p>
        </w:tc>
        <w:tc>
          <w:tcPr>
            <w:tcW w:w="36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EFD354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Challenge</w:t>
            </w:r>
          </w:p>
        </w:tc>
        <w:tc>
          <w:tcPr>
            <w:tcW w:w="36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B26F0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Treatment</w:t>
            </w:r>
          </w:p>
        </w:tc>
        <w:tc>
          <w:tcPr>
            <w:tcW w:w="2700" w:type="dxa"/>
            <w:shd w:val="clear" w:color="auto" w:fill="7A1F3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1B4E8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FFFFFF"/>
                <w:sz w:val="15"/>
                <w:szCs w:val="15"/>
              </w:rPr>
              <w:t>Effect on interpretation</w:t>
            </w:r>
          </w:p>
        </w:tc>
      </w:tr>
      <w:tr w:rsidR="00D018BB" w14:paraId="2AE24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6C5C71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Amazon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349F1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Multi-relational source graph; PMP's frozen config for this dataset uses homo=True.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89C2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The three source relations were combined for homogeneous execution, matching PMP's own author-supported configuration for this dataset.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EBA33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Comparable within this PMP study; consistent with the architecture's own native treatment of Amazon.</w:t>
            </w:r>
          </w:p>
        </w:tc>
      </w:tr>
      <w:tr w:rsidR="00D018BB" w14:paraId="3586A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AFE94A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T-Finance</w:t>
            </w:r>
          </w:p>
        </w:tc>
        <w:tc>
          <w:tcPr>
            <w:tcW w:w="3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9586E2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Single-relation transaction network; canonical DGL file stores one-hot labels.</w:t>
            </w:r>
          </w:p>
        </w:tc>
        <w:tc>
          <w:tcPr>
            <w:tcW w:w="3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4857D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Labels were used as decoded in the canonical source (37,553 normal / 1,804 fraud); homo=True matches the single-relation structure directly.</w:t>
            </w:r>
          </w:p>
        </w:tc>
        <w:tc>
          <w:tcPr>
            <w:tcW w:w="27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1C9C8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Results describe the canonical file as used; no relation-combination ambiguity applies to a single-relation graph.</w:t>
            </w:r>
          </w:p>
        </w:tc>
      </w:tr>
      <w:tr w:rsidR="00D018BB" w14:paraId="23E95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A66AD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FDCompCN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1ADCE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Official source object stores four graph keys; only three (investment, customer, supplier) are independent semantic relations — the fourth (homo) is already a pre-combined view of those same three.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2558BB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PMP's own multi-relational path was used directly: the runner log explicitly records SEMANTIC_RELATIONS=invest_bc2bc, provide_bc2bc, sale_bc2bc and HOMO_AS_FOURTH_RELATION=NO. The pre-combined homo key was not included alongside the three semantic relations.</w:t>
            </w:r>
          </w:p>
        </w:tc>
        <w:tc>
          <w:tcPr>
            <w:tcW w:w="27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9CDC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This dataset's representation is clean: the three real relations are each counted once, with no duplication from the pre-combined view. No representation caveat applies to these results.</w:t>
            </w:r>
          </w:p>
        </w:tc>
      </w:tr>
      <w:tr w:rsidR="00D018BB" w14:paraId="0A91A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A5E10" w14:textId="77777777" w:rsidR="00D018BB" w:rsidRDefault="00000000">
            <w:pPr>
              <w:spacing w:after="30"/>
            </w:pPr>
            <w:r>
              <w:rPr>
                <w:rFonts w:cs="Arial"/>
                <w:b/>
                <w:bCs/>
                <w:color w:val="202020"/>
                <w:sz w:val="15"/>
                <w:szCs w:val="15"/>
              </w:rPr>
              <w:t>YelpChi</w:t>
            </w:r>
          </w:p>
        </w:tc>
        <w:tc>
          <w:tcPr>
            <w:tcW w:w="3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765A6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Multi-relational source graph (R-U-R, R-T-R, R-S-R); PMP’s frozen config for this dataset uses hidden 48, the smallest hidden size among the four completed datasets.</w:t>
            </w:r>
          </w:p>
        </w:tc>
        <w:tc>
          <w:tcPr>
            <w:tcW w:w="36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38957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The three source relations were used under PMP’s native relation-aware path with winner trial 2 (lr 0.01, weight decay 1e-5); batch size 512 is the largest among the four datasets, consistent with YelpChi’s larger labelled population.</w:t>
            </w:r>
          </w:p>
        </w:tc>
        <w:tc>
          <w:tcPr>
            <w:tcW w:w="2700" w:type="dxa"/>
            <w:shd w:val="clear" w:color="auto" w:fill="F5F0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38A7FF" w14:textId="77777777" w:rsidR="00D018BB" w:rsidRDefault="00000000">
            <w:pPr>
              <w:spacing w:after="30"/>
            </w:pPr>
            <w:r>
              <w:rPr>
                <w:rFonts w:cs="Arial"/>
                <w:color w:val="202020"/>
                <w:sz w:val="15"/>
                <w:szCs w:val="15"/>
              </w:rPr>
              <w:t>Comparable within this PMP study; results are now complete and traceable to the final 12-run archive.</w:t>
            </w:r>
          </w:p>
        </w:tc>
      </w:tr>
    </w:tbl>
    <w:p w14:paraId="12147D0A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FDCompCN's row is the most important one in this table: it confirms, from the runner's own log rather than from inference, that PMP's results for this dataset do not carry the representation-duplication issue flagged for a different model on the same dataset elsewhere in this project.</w:t>
      </w:r>
    </w:p>
    <w:p w14:paraId="370DB49C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8. What Each Table Means</w:t>
      </w:r>
    </w:p>
    <w:p w14:paraId="23D6A58E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1. </w:t>
      </w:r>
      <w:r>
        <w:rPr>
          <w:rFonts w:cs="Arial"/>
        </w:rPr>
        <w:t xml:space="preserve"> Dataset and Task/domain identify the graph and fraud setting. Nodes, Edges and Features show the scale of graph structure and input information PMP must process. Fraud/normal and Fraud% show class imbalance. PMP outcome distinguishes a completed run, a native multi-relational run, or a not-yet-executed dataset.</w:t>
      </w:r>
    </w:p>
    <w:p w14:paraId="7C9A0D1A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2. </w:t>
      </w:r>
      <w:r>
        <w:rPr>
          <w:rFonts w:cs="Arial"/>
        </w:rPr>
        <w:t xml:space="preserve"> The main fairness and reproducibility record: source commit, hardware, split design, seeds, tuning budget, checkpoint rules, test isolation, and the full metric set reported.</w:t>
      </w:r>
    </w:p>
    <w:p w14:paraId="3CF59A74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3. </w:t>
      </w:r>
      <w:r>
        <w:rPr>
          <w:rFonts w:cs="Arial"/>
        </w:rPr>
        <w:t xml:space="preserve"> Learning rate, weight decay, hidden dimension, dropout and layer count are the tuned/fixed hyperparameters; different winning values across datasets reflect independent tuning under one equal budget, not inconsistent treatment.</w:t>
      </w:r>
    </w:p>
    <w:p w14:paraId="35331F4B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4. </w:t>
      </w:r>
      <w:r>
        <w:rPr>
          <w:rFonts w:cs="Arial"/>
        </w:rPr>
        <w:t xml:space="preserve"> The full seven-metric performance record across all four training ratios for the four completed datasets. This is the primary evidence table for both effectiveness and label-scarcity behaviour.</w:t>
      </w:r>
    </w:p>
    <w:p w14:paraId="05446135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5. </w:t>
      </w:r>
      <w:r>
        <w:rPr>
          <w:rFonts w:cs="Arial"/>
        </w:rPr>
        <w:t xml:space="preserve"> A compact, single-metric (AUPRC) view across all four datasets and four ratios, for fast pattern comparison.</w:t>
      </w:r>
    </w:p>
    <w:p w14:paraId="2B51E361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6. </w:t>
      </w:r>
      <w:r>
        <w:rPr>
          <w:rFonts w:cs="Arial"/>
        </w:rPr>
        <w:t xml:space="preserve"> Separates cost and feasibility from predictive effectiveness. Mean train/epoch and Total train describe training-only cost; Peak GPU memory captures accelerator demand.</w:t>
      </w:r>
    </w:p>
    <w:p w14:paraId="7F8CD1C2" w14:textId="77777777" w:rsidR="00D018BB" w:rsidRDefault="00000000">
      <w:pPr>
        <w:spacing w:after="90"/>
      </w:pPr>
      <w:r>
        <w:rPr>
          <w:rFonts w:cs="Arial"/>
          <w:b/>
          <w:bCs/>
        </w:rPr>
        <w:t xml:space="preserve">Table 7. </w:t>
      </w:r>
      <w:r>
        <w:rPr>
          <w:rFonts w:cs="Arial"/>
        </w:rPr>
        <w:t xml:space="preserve"> States the concrete source of risk per dataset, the action taken, and the resulting boundary on what can be claimed from the result.</w:t>
      </w:r>
    </w:p>
    <w:p w14:paraId="5857F14B" w14:textId="77777777" w:rsidR="00D018BB" w:rsidRDefault="00000000">
      <w:pPr>
        <w:spacing w:before="240" w:after="100"/>
      </w:pPr>
      <w:r>
        <w:rPr>
          <w:rFonts w:cs="Arial"/>
          <w:b/>
          <w:bCs/>
          <w:color w:val="7A1F3D"/>
          <w:sz w:val="24"/>
          <w:szCs w:val="24"/>
        </w:rPr>
        <w:t>9. Evidence Basis</w:t>
      </w:r>
    </w:p>
    <w:p w14:paraId="40D0A0CA" w14:textId="77777777" w:rsidR="00D018BB" w:rsidRDefault="00000000">
      <w:pPr>
        <w:spacing w:after="70"/>
      </w:pPr>
      <w:r>
        <w:rPr>
          <w:rFonts w:cs="Arial"/>
        </w:rPr>
        <w:t>Experiment execution record: consolidated final-run summaries and per-run archives for YelpChi, Amazon, T-Finance and FDCompCN, each independently checksummed.</w:t>
      </w:r>
    </w:p>
    <w:p w14:paraId="1EB5375B" w14:textId="77777777" w:rsidR="00D018BB" w:rsidRDefault="00000000">
      <w:pPr>
        <w:spacing w:after="70"/>
      </w:pPr>
      <w:r>
        <w:rPr>
          <w:rFonts w:cs="Arial"/>
        </w:rPr>
        <w:t>Repository commit (all four completed datasets): 3f7629f6c180891a0bc1bba3c66d94d288a1ddae.</w:t>
      </w:r>
    </w:p>
    <w:p w14:paraId="29196CF6" w14:textId="77777777" w:rsidR="00D018BB" w:rsidRDefault="00000000">
      <w:pPr>
        <w:spacing w:after="70"/>
      </w:pPr>
      <w:r>
        <w:rPr>
          <w:rFonts w:cs="Arial"/>
        </w:rPr>
        <w:t>Dataset SHA256 (short): YelpChi fedb35a8...; Amazon 4b7e3f9c...; T-Finance (canonical source, consistent with prior project verification); FDCompCN (three-relation logical union, consistent with prior project verification). YelpChi split SHA256 (short): 0ea0af36..., confirmed matching the frozen split evidence.</w:t>
      </w:r>
    </w:p>
    <w:p w14:paraId="4F75D71C" w14:textId="77777777" w:rsidR="00D018BB" w:rsidRDefault="00000000">
      <w:pPr>
        <w:spacing w:after="130"/>
      </w:pPr>
      <w:r>
        <w:rPr>
          <w:rFonts w:cs="Arial"/>
          <w:i/>
          <w:iCs/>
          <w:color w:val="5F5E5A"/>
          <w:sz w:val="16"/>
          <w:szCs w:val="16"/>
        </w:rPr>
        <w:t>Full per-run configuration, per-epoch timing logs, tuning-trial records, and script-level hashes are retained in the evidence bundles for all four completed datasets.</w:t>
      </w:r>
    </w:p>
    <w:sectPr w:rsidR="00D018BB">
      <w:pgSz w:w="16838" w:h="11906"/>
      <w:pgMar w:top="500" w:right="450" w:bottom="50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F4111"/>
    <w:multiLevelType w:val="hybridMultilevel"/>
    <w:tmpl w:val="B14EA8F4"/>
    <w:lvl w:ilvl="0" w:tplc="410605A6">
      <w:start w:val="1"/>
      <w:numFmt w:val="bullet"/>
      <w:lvlText w:val="●"/>
      <w:lvlJc w:val="left"/>
      <w:pPr>
        <w:ind w:left="720" w:hanging="360"/>
      </w:pPr>
    </w:lvl>
    <w:lvl w:ilvl="1" w:tplc="107CAB38">
      <w:start w:val="1"/>
      <w:numFmt w:val="bullet"/>
      <w:lvlText w:val="○"/>
      <w:lvlJc w:val="left"/>
      <w:pPr>
        <w:ind w:left="1440" w:hanging="360"/>
      </w:pPr>
    </w:lvl>
    <w:lvl w:ilvl="2" w:tplc="16E21A22">
      <w:start w:val="1"/>
      <w:numFmt w:val="bullet"/>
      <w:lvlText w:val="■"/>
      <w:lvlJc w:val="left"/>
      <w:pPr>
        <w:ind w:left="2160" w:hanging="360"/>
      </w:pPr>
    </w:lvl>
    <w:lvl w:ilvl="3" w:tplc="FD821562">
      <w:start w:val="1"/>
      <w:numFmt w:val="bullet"/>
      <w:lvlText w:val="●"/>
      <w:lvlJc w:val="left"/>
      <w:pPr>
        <w:ind w:left="2880" w:hanging="360"/>
      </w:pPr>
    </w:lvl>
    <w:lvl w:ilvl="4" w:tplc="D87E0C3A">
      <w:start w:val="1"/>
      <w:numFmt w:val="bullet"/>
      <w:lvlText w:val="○"/>
      <w:lvlJc w:val="left"/>
      <w:pPr>
        <w:ind w:left="3600" w:hanging="360"/>
      </w:pPr>
    </w:lvl>
    <w:lvl w:ilvl="5" w:tplc="85F44352">
      <w:start w:val="1"/>
      <w:numFmt w:val="bullet"/>
      <w:lvlText w:val="■"/>
      <w:lvlJc w:val="left"/>
      <w:pPr>
        <w:ind w:left="4320" w:hanging="360"/>
      </w:pPr>
    </w:lvl>
    <w:lvl w:ilvl="6" w:tplc="2952B408">
      <w:start w:val="1"/>
      <w:numFmt w:val="bullet"/>
      <w:lvlText w:val="●"/>
      <w:lvlJc w:val="left"/>
      <w:pPr>
        <w:ind w:left="5040" w:hanging="360"/>
      </w:pPr>
    </w:lvl>
    <w:lvl w:ilvl="7" w:tplc="0EAC336E">
      <w:start w:val="1"/>
      <w:numFmt w:val="bullet"/>
      <w:lvlText w:val="●"/>
      <w:lvlJc w:val="left"/>
      <w:pPr>
        <w:ind w:left="5760" w:hanging="360"/>
      </w:pPr>
    </w:lvl>
    <w:lvl w:ilvl="8" w:tplc="69A67996">
      <w:start w:val="1"/>
      <w:numFmt w:val="bullet"/>
      <w:lvlText w:val="●"/>
      <w:lvlJc w:val="left"/>
      <w:pPr>
        <w:ind w:left="6480" w:hanging="360"/>
      </w:pPr>
    </w:lvl>
  </w:abstractNum>
  <w:num w:numId="1" w16cid:durableId="1386904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BB"/>
    <w:rsid w:val="006E0BA2"/>
    <w:rsid w:val="00D018BB"/>
    <w:rsid w:val="00F3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65E81"/>
  <w15:docId w15:val="{D59FFF23-60FE-E742-B3B4-67E9AB88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2274</Words>
  <Characters>12964</Characters>
  <Application>Microsoft Office Word</Application>
  <DocSecurity>0</DocSecurity>
  <Lines>108</Lines>
  <Paragraphs>30</Paragraphs>
  <ScaleCrop>false</ScaleCrop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2026-09-16T23:15:00Z</dcterms:created>
  <dcterms:modified xsi:type="dcterms:W3CDTF">2026-09-16T23:19:00Z</dcterms:modified>
</cp:coreProperties>
</file>