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 GNN YelpChi Experiment Record</w:t>
      </w:r>
    </w:p>
    <w:p>
      <w:pPr>
        <w:spacing w:after="240"/>
      </w:pPr>
      <w:r>
        <w:rPr>
          <w:rFonts w:ascii="Aptos" w:hAnsi="Aptos"/>
          <w:b w:val="0"/>
          <w:i w:val="0"/>
          <w:color w:val="666666"/>
          <w:sz w:val="25"/>
        </w:rPr>
        <w:t>Author reproduction, validation-only tuning, controlled label-ratio experiments and three-seed results</w:t>
      </w:r>
    </w:p>
    <w:p>
      <w:pPr>
        <w:spacing w:after="40"/>
      </w:pPr>
      <w:r>
        <w:rPr>
          <w:rFonts w:ascii="Aptos" w:hAnsi="Aptos"/>
          <w:b/>
          <w:i w:val="0"/>
          <w:color w:val="000000"/>
          <w:sz w:val="19"/>
        </w:rPr>
        <w:t xml:space="preserve">Prepared for: </w:t>
      </w:r>
      <w:r>
        <w:rPr>
          <w:rFonts w:ascii="Aptos" w:hAnsi="Aptos"/>
          <w:b w:val="0"/>
          <w:i w:val="0"/>
          <w:color w:val="000000"/>
          <w:sz w:val="19"/>
        </w:rPr>
        <w:t>COMP8851 project team and Dr Venus Haghighi</w:t>
      </w:r>
    </w:p>
    <w:p>
      <w:pPr>
        <w:spacing w:after="40"/>
      </w:pPr>
      <w:r>
        <w:rPr>
          <w:rFonts w:ascii="Aptos" w:hAnsi="Aptos"/>
          <w:b/>
          <w:i w:val="0"/>
          <w:color w:val="000000"/>
          <w:sz w:val="19"/>
        </w:rPr>
        <w:t xml:space="preserve">Updated: </w:t>
      </w:r>
      <w:r>
        <w:rPr>
          <w:rFonts w:ascii="Aptos" w:hAnsi="Aptos"/>
          <w:b w:val="0"/>
          <w:i w:val="0"/>
          <w:color w:val="000000"/>
          <w:sz w:val="19"/>
        </w:rPr>
        <w:t>9 September 2026</w:t>
      </w:r>
    </w:p>
    <w:p>
      <w:pPr>
        <w:spacing w:after="40"/>
      </w:pPr>
      <w:r>
        <w:rPr>
          <w:rFonts w:ascii="Aptos" w:hAnsi="Aptos"/>
          <w:b/>
          <w:i w:val="0"/>
          <w:color w:val="000000"/>
          <w:sz w:val="19"/>
        </w:rPr>
        <w:t xml:space="preserve">Status: </w:t>
      </w:r>
      <w:r>
        <w:rPr>
          <w:rFonts w:ascii="Aptos" w:hAnsi="Aptos"/>
          <w:b w:val="0"/>
          <w:i w:val="0"/>
          <w:color w:val="000000"/>
          <w:sz w:val="19"/>
        </w:rPr>
        <w:t>Final PC-GNN YelpChi run record with 12 controlled runs verified</w:t>
      </w:r>
    </w:p>
    <w:p>
      <w:pPr>
        <w:pStyle w:val="Heading1"/>
      </w:pPr>
      <w:r>
        <w:t>Executive summary</w:t>
      </w:r>
    </w:p>
    <w:p>
      <w:r>
        <w:rPr>
          <w:rFonts w:ascii="Aptos" w:hAnsi="Aptos"/>
          <w:b/>
          <w:i w:val="0"/>
          <w:color w:val="1C6B3C"/>
          <w:sz w:val="21"/>
        </w:rPr>
        <w:t xml:space="preserve">Verification result: PASS. </w:t>
      </w:r>
      <w:r>
        <w:t>The three final seed archives contain all 12 planned PC-GNN runs: four nested YelpChi training ratios and training seeds 2, 42 and 72. Every run used one Tesla T4, the same persistent validation and test node IDs, rho 0.4, Adam, 100 epochs and unchanged PC-GNN architecture. All 1,200 epoch timing rows are present.</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AUROC fell from 0.8386 +/- 0.0056 at TR40 to 0.7960 +/- 0.0023 at TR10.</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AUPRC fell from 0.5244 +/- 0.0106 at TR40 to 0.4578 +/- 0.0027 at TR10.</w:t>
      </w:r>
    </w:p>
    <w:p>
      <w:pPr>
        <w:spacing w:after="60"/>
        <w:ind w:left="346" w:hanging="202"/>
      </w:pPr>
      <w:r>
        <w:rPr>
          <w:rFonts w:ascii="Aptos" w:hAnsi="Aptos"/>
          <w:b w:val="0"/>
          <w:i w:val="0"/>
          <w:color w:val="000000"/>
          <w:sz w:val="21"/>
        </w:rPr>
        <w:t xml:space="preserve">• </w:t>
      </w:r>
      <w:r>
        <w:rPr>
          <w:rFonts w:ascii="Aptos" w:hAnsi="Aptos"/>
          <w:b w:val="0"/>
          <w:i w:val="0"/>
          <w:color w:val="000000"/>
          <w:sz w:val="21"/>
        </w:rPr>
        <w:t>Mean training time per epoch fell from 12.563 +/- 0.225 seconds at TR40 to 2.754 +/- 0.104 seconds at TR10.</w:t>
      </w:r>
    </w:p>
    <w:p>
      <w:pPr>
        <w:spacing w:after="60"/>
        <w:ind w:left="346" w:hanging="202"/>
      </w:pPr>
      <w:r>
        <w:rPr>
          <w:rFonts w:ascii="Aptos" w:hAnsi="Aptos"/>
          <w:b w:val="0"/>
          <w:i w:val="0"/>
          <w:color w:val="000000"/>
          <w:sz w:val="21"/>
        </w:rPr>
        <w:t xml:space="preserve">• </w:t>
      </w:r>
      <w:r>
        <w:rPr>
          <w:rFonts w:ascii="Aptos" w:hAnsi="Aptos"/>
          <w:b w:val="0"/>
          <w:i w:val="0"/>
          <w:color w:val="000000"/>
          <w:sz w:val="21"/>
        </w:rPr>
        <w:t>Threshold-dependent scores were not monotonic across ratios. Macro F1, fraud F1, precision and accuracy varied more between seeds than AUROC/AUPRC, so they should not be read as evidence that fewer labels improved ranking quality.</w:t>
      </w:r>
    </w:p>
    <w:p>
      <w:pPr>
        <w:spacing w:after="60"/>
        <w:ind w:left="346" w:hanging="202"/>
      </w:pPr>
      <w:r>
        <w:rPr>
          <w:rFonts w:ascii="Aptos" w:hAnsi="Aptos"/>
          <w:b w:val="0"/>
          <w:i w:val="0"/>
          <w:color w:val="000000"/>
          <w:sz w:val="21"/>
        </w:rPr>
        <w:t xml:space="preserve">• </w:t>
      </w:r>
      <w:r>
        <w:rPr>
          <w:rFonts w:ascii="Aptos" w:hAnsi="Aptos"/>
          <w:b w:val="0"/>
          <w:i w:val="0"/>
          <w:color w:val="000000"/>
          <w:sz w:val="21"/>
        </w:rPr>
        <w:t>The selected rho value was chosen using validation AUROC only. No test metric was used for hyperparameter or checkpoint selection.</w:t>
      </w:r>
    </w:p>
    <w:p>
      <w:pPr>
        <w:pStyle w:val="Heading1"/>
      </w:pPr>
      <w:r>
        <w:t>1 Evidence and provenance</w:t>
      </w:r>
    </w:p>
    <w:p>
      <w:r>
        <w:rPr>
          <w:rFonts w:ascii="Aptos" w:hAnsi="Aptos"/>
          <w:b/>
          <w:i w:val="0"/>
          <w:color w:val="000000"/>
          <w:sz w:val="19"/>
        </w:rPr>
        <w:t xml:space="preserve">Paper: </w:t>
      </w:r>
      <w:hyperlink r:id="rId11">
        <w:r>
          <w:rPr>
            <w:color w:val="2F75B5"/>
            <w:u w:val="single"/>
          </w:rPr>
          <w:t>Pick and Choose A GNN Based Imbalanced Learning Approach for Fraud Detection</w:t>
        </w:r>
      </w:hyperlink>
    </w:p>
    <w:p>
      <w:r>
        <w:rPr>
          <w:rFonts w:ascii="Aptos" w:hAnsi="Aptos"/>
          <w:b/>
          <w:i w:val="0"/>
          <w:color w:val="000000"/>
          <w:sz w:val="19"/>
        </w:rPr>
        <w:t xml:space="preserve">Official code: </w:t>
      </w:r>
      <w:hyperlink r:id="rId12">
        <w:r>
          <w:rPr>
            <w:color w:val="2F75B5"/>
            <w:u w:val="single"/>
          </w:rPr>
          <w:t>PonderLY PC GNN</w:t>
        </w:r>
      </w:hyperlink>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00"/>
        <w:gridCol w:w="850"/>
        <w:gridCol w:w="800"/>
        <w:gridCol w:w="900"/>
        <w:gridCol w:w="3700"/>
      </w:tblGrid>
      <w:tr>
        <w:trPr>
          <w:cantSplit/>
          <w:tblHeader w:val="true"/>
        </w:trPr>
        <w:tc>
          <w:tcPr>
            <w:tcW w:type="dxa" w:w="3100"/>
            <w:tcMar>
              <w:top w:w="75" w:type="dxa"/>
              <w:start w:w="85" w:type="dxa"/>
              <w:bottom w:w="75" w:type="dxa"/>
              <w:end w:w="85" w:type="dxa"/>
            </w:tcMar>
            <w:shd w:fill="17365D"/>
            <w:vAlign w:val="center"/>
          </w:tcPr>
          <w:p>
            <w:pPr>
              <w:pStyle w:val="TableText"/>
              <w:jc w:val="center"/>
            </w:pPr>
            <w:r>
              <w:rPr>
                <w:rFonts w:ascii="Aptos" w:hAnsi="Aptos"/>
                <w:b/>
                <w:i w:val="0"/>
                <w:color w:val="FFFFFF"/>
                <w:sz w:val="16"/>
              </w:rPr>
              <w:t>Archive</w:t>
            </w:r>
          </w:p>
        </w:tc>
        <w:tc>
          <w:tcPr>
            <w:tcW w:type="dxa" w:w="850"/>
            <w:tcMar>
              <w:top w:w="75" w:type="dxa"/>
              <w:start w:w="85" w:type="dxa"/>
              <w:bottom w:w="75" w:type="dxa"/>
              <w:end w:w="85" w:type="dxa"/>
            </w:tcMar>
            <w:shd w:fill="17365D"/>
            <w:vAlign w:val="center"/>
          </w:tcPr>
          <w:p>
            <w:pPr>
              <w:pStyle w:val="TableText"/>
              <w:jc w:val="center"/>
            </w:pPr>
            <w:r>
              <w:rPr>
                <w:rFonts w:ascii="Aptos" w:hAnsi="Aptos"/>
                <w:b/>
                <w:i w:val="0"/>
                <w:color w:val="FFFFFF"/>
                <w:sz w:val="16"/>
              </w:rPr>
              <w:t>Seed</w:t>
            </w:r>
          </w:p>
        </w:tc>
        <w:tc>
          <w:tcPr>
            <w:tcW w:type="dxa" w:w="800"/>
            <w:tcMar>
              <w:top w:w="75" w:type="dxa"/>
              <w:start w:w="85" w:type="dxa"/>
              <w:bottom w:w="75" w:type="dxa"/>
              <w:end w:w="85" w:type="dxa"/>
            </w:tcMar>
            <w:shd w:fill="17365D"/>
            <w:vAlign w:val="center"/>
          </w:tcPr>
          <w:p>
            <w:pPr>
              <w:pStyle w:val="TableText"/>
              <w:jc w:val="center"/>
            </w:pPr>
            <w:r>
              <w:rPr>
                <w:rFonts w:ascii="Aptos" w:hAnsi="Aptos"/>
                <w:b/>
                <w:i w:val="0"/>
                <w:color w:val="FFFFFF"/>
                <w:sz w:val="16"/>
              </w:rPr>
              <w:t>Files</w:t>
            </w:r>
          </w:p>
        </w:tc>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6"/>
              </w:rPr>
              <w:t>CRC</w:t>
            </w:r>
          </w:p>
        </w:tc>
        <w:tc>
          <w:tcPr>
            <w:tcW w:type="dxa" w:w="3700"/>
            <w:tcMar>
              <w:top w:w="75" w:type="dxa"/>
              <w:start w:w="85" w:type="dxa"/>
              <w:bottom w:w="75" w:type="dxa"/>
              <w:end w:w="85" w:type="dxa"/>
            </w:tcMar>
            <w:shd w:fill="17365D"/>
            <w:vAlign w:val="center"/>
          </w:tcPr>
          <w:p>
            <w:pPr>
              <w:pStyle w:val="TableText"/>
              <w:jc w:val="center"/>
            </w:pPr>
            <w:r>
              <w:rPr>
                <w:rFonts w:ascii="Aptos" w:hAnsi="Aptos"/>
                <w:b/>
                <w:i w:val="0"/>
                <w:color w:val="FFFFFF"/>
                <w:sz w:val="16"/>
              </w:rPr>
              <w:t>SHA 256 prefix</w:t>
            </w:r>
          </w:p>
        </w:tc>
      </w:tr>
      <w:tr>
        <w:trPr>
          <w:cantSplit/>
        </w:trPr>
        <w:tc>
          <w:tcPr>
            <w:tcW w:type="dxa" w:w="3100"/>
            <w:tcMar>
              <w:top w:w="70" w:type="dxa"/>
              <w:start w:w="85" w:type="dxa"/>
              <w:bottom w:w="70" w:type="dxa"/>
              <w:end w:w="85" w:type="dxa"/>
            </w:tcMar>
            <w:vAlign w:val="center"/>
          </w:tcPr>
          <w:p>
            <w:pPr>
              <w:pStyle w:val="TableText"/>
              <w:jc w:val="left"/>
            </w:pPr>
            <w:r>
              <w:rPr>
                <w:rFonts w:ascii="Aptos" w:hAnsi="Aptos"/>
                <w:b w:val="0"/>
                <w:i w:val="0"/>
                <w:color w:val="000000"/>
                <w:sz w:val="16"/>
              </w:rPr>
              <w:t>pcgnn_yelpchi_final_seed2_batch.zip</w:t>
            </w:r>
          </w:p>
        </w:tc>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2</w:t>
            </w:r>
          </w:p>
        </w:tc>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6"/>
              </w:rPr>
              <w:t>48</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PASS</w:t>
            </w:r>
          </w:p>
        </w:tc>
        <w:tc>
          <w:tcPr>
            <w:tcW w:type="dxa" w:w="3700"/>
            <w:tcMar>
              <w:top w:w="70" w:type="dxa"/>
              <w:start w:w="85" w:type="dxa"/>
              <w:bottom w:w="70" w:type="dxa"/>
              <w:end w:w="85" w:type="dxa"/>
            </w:tcMar>
            <w:vAlign w:val="center"/>
          </w:tcPr>
          <w:p>
            <w:pPr>
              <w:pStyle w:val="TableText"/>
              <w:jc w:val="left"/>
            </w:pPr>
            <w:r>
              <w:rPr>
                <w:rFonts w:ascii="Aptos" w:hAnsi="Aptos"/>
                <w:b w:val="0"/>
                <w:i w:val="0"/>
                <w:color w:val="000000"/>
                <w:sz w:val="16"/>
              </w:rPr>
              <w:t>ab0a9ba2da13371d...</w:t>
            </w:r>
          </w:p>
        </w:tc>
      </w:tr>
      <w:tr>
        <w:trPr>
          <w:cantSplit/>
        </w:trPr>
        <w:tc>
          <w:tcPr>
            <w:tcW w:type="dxa" w:w="31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pcgnn_yelpchi_final_seed42_batch.zip</w:t>
            </w:r>
          </w:p>
        </w:tc>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42</w:t>
            </w:r>
          </w:p>
        </w:tc>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48</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PASS</w:t>
            </w:r>
          </w:p>
        </w:tc>
        <w:tc>
          <w:tcPr>
            <w:tcW w:type="dxa" w:w="37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cffa141332b4bcad...</w:t>
            </w:r>
          </w:p>
        </w:tc>
      </w:tr>
      <w:tr>
        <w:trPr>
          <w:cantSplit/>
        </w:trPr>
        <w:tc>
          <w:tcPr>
            <w:tcW w:type="dxa" w:w="3100"/>
            <w:tcMar>
              <w:top w:w="70" w:type="dxa"/>
              <w:start w:w="85" w:type="dxa"/>
              <w:bottom w:w="70" w:type="dxa"/>
              <w:end w:w="85" w:type="dxa"/>
            </w:tcMar>
            <w:vAlign w:val="center"/>
          </w:tcPr>
          <w:p>
            <w:pPr>
              <w:pStyle w:val="TableText"/>
              <w:jc w:val="left"/>
            </w:pPr>
            <w:r>
              <w:rPr>
                <w:rFonts w:ascii="Aptos" w:hAnsi="Aptos"/>
                <w:b w:val="0"/>
                <w:i w:val="0"/>
                <w:color w:val="000000"/>
                <w:sz w:val="16"/>
              </w:rPr>
              <w:t>pcgnn_yelpchi_final_seed72_batch.zip</w:t>
            </w:r>
          </w:p>
        </w:tc>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72</w:t>
            </w:r>
          </w:p>
        </w:tc>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6"/>
              </w:rPr>
              <w:t>48</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6"/>
              </w:rPr>
              <w:t>PASS</w:t>
            </w:r>
          </w:p>
        </w:tc>
        <w:tc>
          <w:tcPr>
            <w:tcW w:type="dxa" w:w="3700"/>
            <w:tcMar>
              <w:top w:w="70" w:type="dxa"/>
              <w:start w:w="85" w:type="dxa"/>
              <w:bottom w:w="70" w:type="dxa"/>
              <w:end w:w="85" w:type="dxa"/>
            </w:tcMar>
            <w:vAlign w:val="center"/>
          </w:tcPr>
          <w:p>
            <w:pPr>
              <w:pStyle w:val="TableText"/>
              <w:jc w:val="left"/>
            </w:pPr>
            <w:r>
              <w:rPr>
                <w:rFonts w:ascii="Aptos" w:hAnsi="Aptos"/>
                <w:b w:val="0"/>
                <w:i w:val="0"/>
                <w:color w:val="000000"/>
                <w:sz w:val="16"/>
              </w:rPr>
              <w:t>945c7ee865c547da...</w:t>
            </w:r>
          </w:p>
        </w:tc>
      </w:tr>
      <w:tr>
        <w:trPr>
          <w:cantSplit/>
        </w:trPr>
        <w:tc>
          <w:tcPr>
            <w:tcW w:type="dxa" w:w="31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pcgnn_tr40_rho_tuning_complete.zip</w:t>
            </w:r>
          </w:p>
        </w:tc>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Tuning</w:t>
            </w:r>
          </w:p>
        </w:tc>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56</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PASS</w:t>
            </w:r>
          </w:p>
        </w:tc>
        <w:tc>
          <w:tcPr>
            <w:tcW w:type="dxa" w:w="37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f4fe6106449abe4e...</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Recorded upstream commit</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9d7d7fae491081178b6e12e193fb89cfc330f2be</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Author archive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pcgnn_kaggle_t4_author_100epochs_results.zip</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Author archive SHA 256</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730468192def86f4cd0deca0efeb41d76bad9535ed94c729e1e3990872d581c7</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Final controlled runs</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12 of 12 found and verified</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Per epoch evidence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100 rows per run; 1,200 total training epoch rows</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Validation events</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20 per run; 240 total validation events</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Seed 72 TR40 provenance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The selected rho 0.4 tuning run was reused as the final seed 72 TR40 run; reuse is explicitly recorded and selection used validation AUROC only.</w:t>
            </w:r>
          </w:p>
        </w:tc>
      </w:tr>
    </w:tbl>
    <w:p>
      <w:pPr>
        <w:spacing w:after="20"/>
      </w:pPr>
    </w:p>
    <w:p>
      <w:pPr>
        <w:spacing w:after="120"/>
      </w:pPr>
      <w:r>
        <w:rPr>
          <w:rFonts w:ascii="Aptos" w:hAnsi="Aptos"/>
          <w:b w:val="0"/>
          <w:i/>
          <w:color w:val="666666"/>
          <w:sz w:val="17"/>
        </w:rPr>
        <w:t>Full archive hashes are retained in the accompanying checksum CSV and verification JSON.</w:t>
      </w:r>
    </w:p>
    <w:p>
      <w:pPr>
        <w:pStyle w:val="Heading1"/>
      </w:pPr>
      <w:r>
        <w:t>2 Reproduction status and paper comparison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300"/>
        <w:gridCol w:w="2500"/>
        <w:gridCol w:w="3050"/>
      </w:tblGrid>
      <w:tr>
        <w:trPr>
          <w:cantSplit/>
          <w:tblHeader w:val="true"/>
        </w:trPr>
        <w:tc>
          <w:tcPr>
            <w:tcW w:type="dxa" w:w="15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Metric</w:t>
            </w:r>
          </w:p>
        </w:tc>
        <w:tc>
          <w:tcPr>
            <w:tcW w:type="dxa" w:w="2300"/>
            <w:tcMar>
              <w:top w:w="75" w:type="dxa"/>
              <w:start w:w="85" w:type="dxa"/>
              <w:bottom w:w="75" w:type="dxa"/>
              <w:end w:w="85" w:type="dxa"/>
            </w:tcMar>
            <w:shd w:fill="17365D"/>
            <w:vAlign w:val="center"/>
          </w:tcPr>
          <w:p>
            <w:pPr>
              <w:pStyle w:val="TableText"/>
              <w:jc w:val="center"/>
            </w:pPr>
            <w:r>
              <w:rPr>
                <w:rFonts w:ascii="Aptos" w:hAnsi="Aptos"/>
                <w:b/>
                <w:i w:val="0"/>
                <w:color w:val="FFFFFF"/>
                <w:sz w:val="16"/>
              </w:rPr>
              <w:t>Paper</w:t>
            </w:r>
          </w:p>
        </w:tc>
        <w:tc>
          <w:tcPr>
            <w:tcW w:type="dxa" w:w="2500"/>
            <w:tcMar>
              <w:top w:w="75" w:type="dxa"/>
              <w:start w:w="85" w:type="dxa"/>
              <w:bottom w:w="75" w:type="dxa"/>
              <w:end w:w="85" w:type="dxa"/>
            </w:tcMar>
            <w:shd w:fill="17365D"/>
            <w:vAlign w:val="center"/>
          </w:tcPr>
          <w:p>
            <w:pPr>
              <w:pStyle w:val="TableText"/>
              <w:jc w:val="center"/>
            </w:pPr>
            <w:r>
              <w:rPr>
                <w:rFonts w:ascii="Aptos" w:hAnsi="Aptos"/>
                <w:b/>
                <w:i w:val="0"/>
                <w:color w:val="FFFFFF"/>
                <w:sz w:val="16"/>
              </w:rPr>
              <w:t>Author mode seed 72</w:t>
            </w:r>
          </w:p>
        </w:tc>
        <w:tc>
          <w:tcPr>
            <w:tcW w:type="dxa" w:w="3050"/>
            <w:tcMar>
              <w:top w:w="75" w:type="dxa"/>
              <w:start w:w="85" w:type="dxa"/>
              <w:bottom w:w="75" w:type="dxa"/>
              <w:end w:w="85" w:type="dxa"/>
            </w:tcMar>
            <w:shd w:fill="17365D"/>
            <w:vAlign w:val="center"/>
          </w:tcPr>
          <w:p>
            <w:pPr>
              <w:pStyle w:val="TableText"/>
              <w:jc w:val="center"/>
            </w:pPr>
            <w:r>
              <w:rPr>
                <w:rFonts w:ascii="Aptos" w:hAnsi="Aptos"/>
                <w:b/>
                <w:i w:val="0"/>
                <w:color w:val="FFFFFF"/>
                <w:sz w:val="16"/>
              </w:rPr>
              <w:t>Final TR40 mean +/- SD</w:t>
            </w:r>
          </w:p>
        </w:tc>
      </w:tr>
      <w:tr>
        <w:trPr>
          <w:cantSplit/>
        </w:trPr>
        <w:tc>
          <w:tcPr>
            <w:tcW w:type="dxa" w:w="1500"/>
            <w:tcMar>
              <w:top w:w="70" w:type="dxa"/>
              <w:start w:w="85" w:type="dxa"/>
              <w:bottom w:w="70" w:type="dxa"/>
              <w:end w:w="85" w:type="dxa"/>
            </w:tcMar>
            <w:vAlign w:val="center"/>
          </w:tcPr>
          <w:p>
            <w:pPr>
              <w:pStyle w:val="TableText"/>
              <w:jc w:val="left"/>
            </w:pPr>
            <w:r>
              <w:rPr>
                <w:rFonts w:ascii="Aptos" w:hAnsi="Aptos"/>
                <w:b w:val="0"/>
                <w:i w:val="0"/>
                <w:color w:val="000000"/>
                <w:sz w:val="16"/>
              </w:rPr>
              <w:t>AUROC</w:t>
            </w:r>
          </w:p>
        </w:tc>
        <w:tc>
          <w:tcPr>
            <w:tcW w:type="dxa" w:w="2300"/>
            <w:tcMar>
              <w:top w:w="70" w:type="dxa"/>
              <w:start w:w="85" w:type="dxa"/>
              <w:bottom w:w="70" w:type="dxa"/>
              <w:end w:w="85" w:type="dxa"/>
            </w:tcMar>
            <w:vAlign w:val="center"/>
          </w:tcPr>
          <w:p>
            <w:pPr>
              <w:pStyle w:val="TableText"/>
              <w:jc w:val="center"/>
            </w:pPr>
            <w:r>
              <w:rPr>
                <w:rFonts w:ascii="Aptos" w:hAnsi="Aptos"/>
                <w:b w:val="0"/>
                <w:i w:val="0"/>
                <w:color w:val="000000"/>
                <w:sz w:val="16"/>
              </w:rPr>
              <w:t>0.7987 +/- 0.0014</w:t>
            </w:r>
          </w:p>
        </w:tc>
        <w:tc>
          <w:tcPr>
            <w:tcW w:type="dxa" w:w="2500"/>
            <w:tcMar>
              <w:top w:w="70" w:type="dxa"/>
              <w:start w:w="85" w:type="dxa"/>
              <w:bottom w:w="70" w:type="dxa"/>
              <w:end w:w="85" w:type="dxa"/>
            </w:tcMar>
            <w:vAlign w:val="center"/>
          </w:tcPr>
          <w:p>
            <w:pPr>
              <w:pStyle w:val="TableText"/>
              <w:jc w:val="center"/>
            </w:pPr>
            <w:r>
              <w:rPr>
                <w:rFonts w:ascii="Aptos" w:hAnsi="Aptos"/>
                <w:b w:val="0"/>
                <w:i w:val="0"/>
                <w:color w:val="000000"/>
                <w:sz w:val="16"/>
              </w:rPr>
              <w:t>0.8391</w:t>
            </w:r>
          </w:p>
        </w:tc>
        <w:tc>
          <w:tcPr>
            <w:tcW w:type="dxa" w:w="3050"/>
            <w:tcMar>
              <w:top w:w="70" w:type="dxa"/>
              <w:start w:w="85" w:type="dxa"/>
              <w:bottom w:w="70" w:type="dxa"/>
              <w:end w:w="85" w:type="dxa"/>
            </w:tcMar>
            <w:vAlign w:val="center"/>
          </w:tcPr>
          <w:p>
            <w:pPr>
              <w:pStyle w:val="TableText"/>
              <w:jc w:val="center"/>
            </w:pPr>
            <w:r>
              <w:rPr>
                <w:rFonts w:ascii="Aptos" w:hAnsi="Aptos"/>
                <w:b w:val="0"/>
                <w:i w:val="0"/>
                <w:color w:val="000000"/>
                <w:sz w:val="16"/>
              </w:rPr>
              <w:t>0.8386 +/- 0.0056</w:t>
            </w:r>
          </w:p>
        </w:tc>
      </w:tr>
      <w:tr>
        <w:trPr>
          <w:cantSplit/>
        </w:trPr>
        <w:tc>
          <w:tcPr>
            <w:tcW w:type="dxa" w:w="15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AUPRC</w:t>
            </w:r>
          </w:p>
        </w:tc>
        <w:tc>
          <w:tcPr>
            <w:tcW w:type="dxa" w:w="2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reported</w:t>
            </w:r>
          </w:p>
        </w:tc>
        <w:tc>
          <w:tcPr>
            <w:tcW w:type="dxa" w:w="2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0.5245</w:t>
            </w:r>
          </w:p>
        </w:tc>
        <w:tc>
          <w:tcPr>
            <w:tcW w:type="dxa" w:w="30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0.5244 +/- 0.0106</w:t>
            </w:r>
          </w:p>
        </w:tc>
      </w:tr>
      <w:tr>
        <w:trPr>
          <w:cantSplit/>
        </w:trPr>
        <w:tc>
          <w:tcPr>
            <w:tcW w:type="dxa" w:w="1500"/>
            <w:tcMar>
              <w:top w:w="70" w:type="dxa"/>
              <w:start w:w="85" w:type="dxa"/>
              <w:bottom w:w="70" w:type="dxa"/>
              <w:end w:w="85" w:type="dxa"/>
            </w:tcMar>
            <w:vAlign w:val="center"/>
          </w:tcPr>
          <w:p>
            <w:pPr>
              <w:pStyle w:val="TableText"/>
              <w:jc w:val="left"/>
            </w:pPr>
            <w:r>
              <w:rPr>
                <w:rFonts w:ascii="Aptos" w:hAnsi="Aptos"/>
                <w:b w:val="0"/>
                <w:i w:val="0"/>
                <w:color w:val="000000"/>
                <w:sz w:val="16"/>
              </w:rPr>
              <w:t>Macro F1</w:t>
            </w:r>
          </w:p>
        </w:tc>
        <w:tc>
          <w:tcPr>
            <w:tcW w:type="dxa" w:w="2300"/>
            <w:tcMar>
              <w:top w:w="70" w:type="dxa"/>
              <w:start w:w="85" w:type="dxa"/>
              <w:bottom w:w="70" w:type="dxa"/>
              <w:end w:w="85" w:type="dxa"/>
            </w:tcMar>
            <w:vAlign w:val="center"/>
          </w:tcPr>
          <w:p>
            <w:pPr>
              <w:pStyle w:val="TableText"/>
              <w:jc w:val="center"/>
            </w:pPr>
            <w:r>
              <w:rPr>
                <w:rFonts w:ascii="Aptos" w:hAnsi="Aptos"/>
                <w:b w:val="0"/>
                <w:i w:val="0"/>
                <w:color w:val="000000"/>
                <w:sz w:val="16"/>
              </w:rPr>
              <w:t>0.6300 +/- 0.0230</w:t>
            </w:r>
          </w:p>
        </w:tc>
        <w:tc>
          <w:tcPr>
            <w:tcW w:type="dxa" w:w="2500"/>
            <w:tcMar>
              <w:top w:w="70" w:type="dxa"/>
              <w:start w:w="85" w:type="dxa"/>
              <w:bottom w:w="70" w:type="dxa"/>
              <w:end w:w="85" w:type="dxa"/>
            </w:tcMar>
            <w:vAlign w:val="center"/>
          </w:tcPr>
          <w:p>
            <w:pPr>
              <w:pStyle w:val="TableText"/>
              <w:jc w:val="center"/>
            </w:pPr>
            <w:r>
              <w:rPr>
                <w:rFonts w:ascii="Aptos" w:hAnsi="Aptos"/>
                <w:b w:val="0"/>
                <w:i w:val="0"/>
                <w:color w:val="000000"/>
                <w:sz w:val="16"/>
              </w:rPr>
              <w:t>0.6220</w:t>
            </w:r>
          </w:p>
        </w:tc>
        <w:tc>
          <w:tcPr>
            <w:tcW w:type="dxa" w:w="3050"/>
            <w:tcMar>
              <w:top w:w="70" w:type="dxa"/>
              <w:start w:w="85" w:type="dxa"/>
              <w:bottom w:w="70" w:type="dxa"/>
              <w:end w:w="85" w:type="dxa"/>
            </w:tcMar>
            <w:vAlign w:val="center"/>
          </w:tcPr>
          <w:p>
            <w:pPr>
              <w:pStyle w:val="TableText"/>
              <w:jc w:val="center"/>
            </w:pPr>
            <w:r>
              <w:rPr>
                <w:rFonts w:ascii="Aptos" w:hAnsi="Aptos"/>
                <w:b w:val="0"/>
                <w:i w:val="0"/>
                <w:color w:val="000000"/>
                <w:sz w:val="16"/>
              </w:rPr>
              <w:t>0.6272 +/- 0.0459</w:t>
            </w:r>
          </w:p>
        </w:tc>
      </w:tr>
      <w:tr>
        <w:trPr>
          <w:cantSplit/>
        </w:trPr>
        <w:tc>
          <w:tcPr>
            <w:tcW w:type="dxa" w:w="15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Fraud F1</w:t>
            </w:r>
          </w:p>
        </w:tc>
        <w:tc>
          <w:tcPr>
            <w:tcW w:type="dxa" w:w="23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reported</w:t>
            </w:r>
          </w:p>
        </w:tc>
        <w:tc>
          <w:tcPr>
            <w:tcW w:type="dxa" w:w="2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0.4461</w:t>
            </w:r>
          </w:p>
        </w:tc>
        <w:tc>
          <w:tcPr>
            <w:tcW w:type="dxa" w:w="30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0.4516 +/- 0.0371</w:t>
            </w:r>
          </w:p>
        </w:tc>
      </w:tr>
      <w:tr>
        <w:trPr>
          <w:cantSplit/>
        </w:trPr>
        <w:tc>
          <w:tcPr>
            <w:tcW w:type="dxa" w:w="1500"/>
            <w:tcMar>
              <w:top w:w="70" w:type="dxa"/>
              <w:start w:w="85" w:type="dxa"/>
              <w:bottom w:w="70" w:type="dxa"/>
              <w:end w:w="85" w:type="dxa"/>
            </w:tcMar>
            <w:vAlign w:val="center"/>
          </w:tcPr>
          <w:p>
            <w:pPr>
              <w:pStyle w:val="TableText"/>
              <w:jc w:val="left"/>
            </w:pPr>
            <w:r>
              <w:rPr>
                <w:rFonts w:ascii="Aptos" w:hAnsi="Aptos"/>
                <w:b w:val="0"/>
                <w:i w:val="0"/>
                <w:color w:val="000000"/>
                <w:sz w:val="16"/>
              </w:rPr>
              <w:t>G Mean</w:t>
            </w:r>
          </w:p>
        </w:tc>
        <w:tc>
          <w:tcPr>
            <w:tcW w:type="dxa" w:w="2300"/>
            <w:tcMar>
              <w:top w:w="70" w:type="dxa"/>
              <w:start w:w="85" w:type="dxa"/>
              <w:bottom w:w="70" w:type="dxa"/>
              <w:end w:w="85" w:type="dxa"/>
            </w:tcMar>
            <w:vAlign w:val="center"/>
          </w:tcPr>
          <w:p>
            <w:pPr>
              <w:pStyle w:val="TableText"/>
              <w:jc w:val="center"/>
            </w:pPr>
            <w:r>
              <w:rPr>
                <w:rFonts w:ascii="Aptos" w:hAnsi="Aptos"/>
                <w:b w:val="0"/>
                <w:i w:val="0"/>
                <w:color w:val="000000"/>
                <w:sz w:val="16"/>
              </w:rPr>
              <w:t>0.7160 +/- 0.0130</w:t>
            </w:r>
          </w:p>
        </w:tc>
        <w:tc>
          <w:tcPr>
            <w:tcW w:type="dxa" w:w="2500"/>
            <w:tcMar>
              <w:top w:w="70" w:type="dxa"/>
              <w:start w:w="85" w:type="dxa"/>
              <w:bottom w:w="70" w:type="dxa"/>
              <w:end w:w="85" w:type="dxa"/>
            </w:tcMar>
            <w:vAlign w:val="center"/>
          </w:tcPr>
          <w:p>
            <w:pPr>
              <w:pStyle w:val="TableText"/>
              <w:jc w:val="center"/>
            </w:pPr>
            <w:r>
              <w:rPr>
                <w:rFonts w:ascii="Aptos" w:hAnsi="Aptos"/>
                <w:b w:val="0"/>
                <w:i w:val="0"/>
                <w:color w:val="000000"/>
                <w:sz w:val="16"/>
              </w:rPr>
              <w:t>0.7493</w:t>
            </w:r>
          </w:p>
        </w:tc>
        <w:tc>
          <w:tcPr>
            <w:tcW w:type="dxa" w:w="3050"/>
            <w:tcMar>
              <w:top w:w="70" w:type="dxa"/>
              <w:start w:w="85" w:type="dxa"/>
              <w:bottom w:w="70" w:type="dxa"/>
              <w:end w:w="85" w:type="dxa"/>
            </w:tcMar>
            <w:vAlign w:val="center"/>
          </w:tcPr>
          <w:p>
            <w:pPr>
              <w:pStyle w:val="TableText"/>
              <w:jc w:val="center"/>
            </w:pPr>
            <w:r>
              <w:rPr>
                <w:rFonts w:ascii="Aptos" w:hAnsi="Aptos"/>
                <w:b w:val="0"/>
                <w:i w:val="0"/>
                <w:color w:val="000000"/>
                <w:sz w:val="16"/>
              </w:rPr>
              <w:t>0.7466 +/- 0.0238</w:t>
            </w:r>
          </w:p>
        </w:tc>
      </w:tr>
    </w:tbl>
    <w:p>
      <w:pPr>
        <w:spacing w:after="20"/>
      </w:pPr>
    </w:p>
    <w:p>
      <w:r>
        <w:rPr>
          <w:rFonts w:ascii="Aptos" w:hAnsi="Aptos"/>
          <w:b/>
          <w:i w:val="0"/>
          <w:color w:val="000000"/>
          <w:sz w:val="18"/>
        </w:rPr>
        <w:t xml:space="preserve">Interpretation limit. </w:t>
      </w:r>
      <w:r>
        <w:t>The author-mode run is an approximate reproduction, not an exact replication. The supplied YelpChi path uses 32 features whereas the paper reports 100; the paper reports ten runs; and the recorded software and hardware differ. The paper values therefore provide context, not a like-for-like superiority claim.</w:t>
      </w:r>
    </w:p>
    <w:p>
      <w:pPr>
        <w:pStyle w:val="Heading1"/>
      </w:pPr>
      <w:r>
        <w:t>3 Dataset and persistent split protocol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Dataset</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YelpChi processed for the official PC-GNN code path</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Task</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Binary node classification of fraud or spam reviews versus normal reviews</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Graph</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Review nodes with three relation adjacency lists; multi relation PC-GNN aggregation enabled</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Labelled nodes</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45,954</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Fraud nodes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6,677 or 14.53 percent</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Feature dimension used</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32</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Split seed</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2, used once to create the persistent nested split family</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Isolation rule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Validation and test IDs remain fixed across every ratio and training seed</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20"/>
        <w:gridCol w:w="1280"/>
        <w:gridCol w:w="1350"/>
        <w:gridCol w:w="1450"/>
        <w:gridCol w:w="1420"/>
        <w:gridCol w:w="1420"/>
        <w:gridCol w:w="1510"/>
      </w:tblGrid>
      <w:tr>
        <w:trPr>
          <w:cantSplit/>
          <w:tblHeader w:val="true"/>
        </w:trPr>
        <w:tc>
          <w:tcPr>
            <w:tcW w:type="dxa" w:w="92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128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w:t>
            </w:r>
          </w:p>
        </w:tc>
        <w:tc>
          <w:tcPr>
            <w:tcW w:type="dxa" w:w="135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 fraud</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6"/>
              </w:rPr>
              <w:t>Train normal</w:t>
            </w:r>
          </w:p>
        </w:tc>
        <w:tc>
          <w:tcPr>
            <w:tcW w:type="dxa" w:w="142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w:t>
            </w:r>
          </w:p>
        </w:tc>
        <w:tc>
          <w:tcPr>
            <w:tcW w:type="dxa" w:w="1420"/>
            <w:tcMar>
              <w:top w:w="75" w:type="dxa"/>
              <w:start w:w="85" w:type="dxa"/>
              <w:bottom w:w="75" w:type="dxa"/>
              <w:end w:w="85" w:type="dxa"/>
            </w:tcMar>
            <w:shd w:fill="17365D"/>
            <w:vAlign w:val="center"/>
          </w:tcPr>
          <w:p>
            <w:pPr>
              <w:pStyle w:val="TableText"/>
              <w:jc w:val="center"/>
            </w:pPr>
            <w:r>
              <w:rPr>
                <w:rFonts w:ascii="Aptos" w:hAnsi="Aptos"/>
                <w:b/>
                <w:i w:val="0"/>
                <w:color w:val="FFFFFF"/>
                <w:sz w:val="16"/>
              </w:rPr>
              <w:t>Test</w:t>
            </w:r>
          </w:p>
        </w:tc>
        <w:tc>
          <w:tcPr>
            <w:tcW w:type="dxa" w:w="1510"/>
            <w:tcMar>
              <w:top w:w="75" w:type="dxa"/>
              <w:start w:w="85" w:type="dxa"/>
              <w:bottom w:w="75" w:type="dxa"/>
              <w:end w:w="85" w:type="dxa"/>
            </w:tcMar>
            <w:shd w:fill="17365D"/>
            <w:vAlign w:val="center"/>
          </w:tcPr>
          <w:p>
            <w:pPr>
              <w:pStyle w:val="TableText"/>
              <w:jc w:val="center"/>
            </w:pPr>
            <w:r>
              <w:rPr>
                <w:rFonts w:ascii="Aptos" w:hAnsi="Aptos"/>
                <w:b/>
                <w:i w:val="0"/>
                <w:color w:val="FFFFFF"/>
                <w:sz w:val="16"/>
              </w:rPr>
              <w:t>Unused</w:t>
            </w:r>
          </w:p>
        </w:tc>
      </w:tr>
      <w:tr>
        <w:trPr>
          <w:cantSplit/>
        </w:trPr>
        <w:tc>
          <w:tcPr>
            <w:tcW w:type="dxa" w:w="92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1280"/>
            <w:tcMar>
              <w:top w:w="70" w:type="dxa"/>
              <w:start w:w="85" w:type="dxa"/>
              <w:bottom w:w="70" w:type="dxa"/>
              <w:end w:w="85" w:type="dxa"/>
            </w:tcMar>
            <w:vAlign w:val="center"/>
          </w:tcPr>
          <w:p>
            <w:pPr>
              <w:pStyle w:val="TableText"/>
              <w:jc w:val="center"/>
            </w:pPr>
            <w:r>
              <w:rPr>
                <w:rFonts w:ascii="Aptos" w:hAnsi="Aptos"/>
                <w:b w:val="0"/>
                <w:i w:val="0"/>
                <w:color w:val="000000"/>
                <w:sz w:val="16"/>
              </w:rPr>
              <w:t>18,381</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2,671</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15,710</w:t>
            </w:r>
          </w:p>
        </w:tc>
        <w:tc>
          <w:tcPr>
            <w:tcW w:type="dxa" w:w="1420"/>
            <w:tcMar>
              <w:top w:w="70" w:type="dxa"/>
              <w:start w:w="85" w:type="dxa"/>
              <w:bottom w:w="70" w:type="dxa"/>
              <w:end w:w="85" w:type="dxa"/>
            </w:tcMar>
            <w:vAlign w:val="center"/>
          </w:tcPr>
          <w:p>
            <w:pPr>
              <w:pStyle w:val="TableText"/>
              <w:jc w:val="center"/>
            </w:pPr>
            <w:r>
              <w:rPr>
                <w:rFonts w:ascii="Aptos" w:hAnsi="Aptos"/>
                <w:b w:val="0"/>
                <w:i w:val="0"/>
                <w:color w:val="000000"/>
                <w:sz w:val="16"/>
              </w:rPr>
              <w:t>9,099</w:t>
            </w:r>
          </w:p>
        </w:tc>
        <w:tc>
          <w:tcPr>
            <w:tcW w:type="dxa" w:w="1420"/>
            <w:tcMar>
              <w:top w:w="70" w:type="dxa"/>
              <w:start w:w="85" w:type="dxa"/>
              <w:bottom w:w="70" w:type="dxa"/>
              <w:end w:w="85" w:type="dxa"/>
            </w:tcMar>
            <w:vAlign w:val="center"/>
          </w:tcPr>
          <w:p>
            <w:pPr>
              <w:pStyle w:val="TableText"/>
              <w:jc w:val="center"/>
            </w:pPr>
            <w:r>
              <w:rPr>
                <w:rFonts w:ascii="Aptos" w:hAnsi="Aptos"/>
                <w:b w:val="0"/>
                <w:i w:val="0"/>
                <w:color w:val="000000"/>
                <w:sz w:val="16"/>
              </w:rPr>
              <w:t>18,474</w:t>
            </w:r>
          </w:p>
        </w:tc>
        <w:tc>
          <w:tcPr>
            <w:tcW w:type="dxa" w:w="1510"/>
            <w:tcMar>
              <w:top w:w="70" w:type="dxa"/>
              <w:start w:w="85" w:type="dxa"/>
              <w:bottom w:w="70" w:type="dxa"/>
              <w:end w:w="85" w:type="dxa"/>
            </w:tcMar>
            <w:vAlign w:val="center"/>
          </w:tcPr>
          <w:p>
            <w:pPr>
              <w:pStyle w:val="TableText"/>
              <w:jc w:val="center"/>
            </w:pPr>
            <w:r>
              <w:rPr>
                <w:rFonts w:ascii="Aptos" w:hAnsi="Aptos"/>
                <w:b w:val="0"/>
                <w:i w:val="0"/>
                <w:color w:val="000000"/>
                <w:sz w:val="16"/>
              </w:rPr>
              <w:t>0</w:t>
            </w:r>
          </w:p>
        </w:tc>
      </w:tr>
      <w:tr>
        <w:trPr>
          <w:cantSplit/>
        </w:trPr>
        <w:tc>
          <w:tcPr>
            <w:tcW w:type="dxa" w:w="9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128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13,786</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2,003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11,783</w:t>
            </w:r>
          </w:p>
        </w:tc>
        <w:tc>
          <w:tcPr>
            <w:tcW w:type="dxa" w:w="14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9,099</w:t>
            </w:r>
          </w:p>
        </w:tc>
        <w:tc>
          <w:tcPr>
            <w:tcW w:type="dxa" w:w="14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18,474</w:t>
            </w:r>
          </w:p>
        </w:tc>
        <w:tc>
          <w:tcPr>
            <w:tcW w:type="dxa" w:w="151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4,595</w:t>
            </w:r>
          </w:p>
        </w:tc>
      </w:tr>
      <w:tr>
        <w:trPr>
          <w:cantSplit/>
        </w:trPr>
        <w:tc>
          <w:tcPr>
            <w:tcW w:type="dxa" w:w="92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1280"/>
            <w:tcMar>
              <w:top w:w="70" w:type="dxa"/>
              <w:start w:w="85" w:type="dxa"/>
              <w:bottom w:w="70" w:type="dxa"/>
              <w:end w:w="85" w:type="dxa"/>
            </w:tcMar>
            <w:vAlign w:val="center"/>
          </w:tcPr>
          <w:p>
            <w:pPr>
              <w:pStyle w:val="TableText"/>
              <w:jc w:val="center"/>
            </w:pPr>
            <w:r>
              <w:rPr>
                <w:rFonts w:ascii="Aptos" w:hAnsi="Aptos"/>
                <w:b w:val="0"/>
                <w:i w:val="0"/>
                <w:color w:val="000000"/>
                <w:sz w:val="16"/>
              </w:rPr>
              <w:t>9,191</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1,336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6"/>
              </w:rPr>
              <w:t>7,855</w:t>
            </w:r>
          </w:p>
        </w:tc>
        <w:tc>
          <w:tcPr>
            <w:tcW w:type="dxa" w:w="1420"/>
            <w:tcMar>
              <w:top w:w="70" w:type="dxa"/>
              <w:start w:w="85" w:type="dxa"/>
              <w:bottom w:w="70" w:type="dxa"/>
              <w:end w:w="85" w:type="dxa"/>
            </w:tcMar>
            <w:vAlign w:val="center"/>
          </w:tcPr>
          <w:p>
            <w:pPr>
              <w:pStyle w:val="TableText"/>
              <w:jc w:val="center"/>
            </w:pPr>
            <w:r>
              <w:rPr>
                <w:rFonts w:ascii="Aptos" w:hAnsi="Aptos"/>
                <w:b w:val="0"/>
                <w:i w:val="0"/>
                <w:color w:val="000000"/>
                <w:sz w:val="16"/>
              </w:rPr>
              <w:t>9,099</w:t>
            </w:r>
          </w:p>
        </w:tc>
        <w:tc>
          <w:tcPr>
            <w:tcW w:type="dxa" w:w="1420"/>
            <w:tcMar>
              <w:top w:w="70" w:type="dxa"/>
              <w:start w:w="85" w:type="dxa"/>
              <w:bottom w:w="70" w:type="dxa"/>
              <w:end w:w="85" w:type="dxa"/>
            </w:tcMar>
            <w:vAlign w:val="center"/>
          </w:tcPr>
          <w:p>
            <w:pPr>
              <w:pStyle w:val="TableText"/>
              <w:jc w:val="center"/>
            </w:pPr>
            <w:r>
              <w:rPr>
                <w:rFonts w:ascii="Aptos" w:hAnsi="Aptos"/>
                <w:b w:val="0"/>
                <w:i w:val="0"/>
                <w:color w:val="000000"/>
                <w:sz w:val="16"/>
              </w:rPr>
              <w:t>18,474</w:t>
            </w:r>
          </w:p>
        </w:tc>
        <w:tc>
          <w:tcPr>
            <w:tcW w:type="dxa" w:w="1510"/>
            <w:tcMar>
              <w:top w:w="70" w:type="dxa"/>
              <w:start w:w="85" w:type="dxa"/>
              <w:bottom w:w="70" w:type="dxa"/>
              <w:end w:w="85" w:type="dxa"/>
            </w:tcMar>
            <w:vAlign w:val="center"/>
          </w:tcPr>
          <w:p>
            <w:pPr>
              <w:pStyle w:val="TableText"/>
              <w:jc w:val="center"/>
            </w:pPr>
            <w:r>
              <w:rPr>
                <w:rFonts w:ascii="Aptos" w:hAnsi="Aptos"/>
                <w:b w:val="0"/>
                <w:i w:val="0"/>
                <w:color w:val="000000"/>
                <w:sz w:val="16"/>
              </w:rPr>
              <w:t>9,190</w:t>
            </w:r>
          </w:p>
        </w:tc>
      </w:tr>
      <w:tr>
        <w:trPr>
          <w:cantSplit/>
        </w:trPr>
        <w:tc>
          <w:tcPr>
            <w:tcW w:type="dxa" w:w="9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128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4,595</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668</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3,927</w:t>
            </w:r>
          </w:p>
        </w:tc>
        <w:tc>
          <w:tcPr>
            <w:tcW w:type="dxa" w:w="14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9,099</w:t>
            </w:r>
          </w:p>
        </w:tc>
        <w:tc>
          <w:tcPr>
            <w:tcW w:type="dxa" w:w="142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18,474</w:t>
            </w:r>
          </w:p>
        </w:tc>
        <w:tc>
          <w:tcPr>
            <w:tcW w:type="dxa" w:w="151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13,786</w:t>
            </w:r>
          </w:p>
        </w:tc>
      </w:tr>
    </w:tbl>
    <w:p>
      <w:pPr>
        <w:spacing w:after="20"/>
      </w:pPr>
    </w:p>
    <w:p>
      <w:pPr>
        <w:spacing w:after="60"/>
        <w:ind w:left="346" w:hanging="202"/>
      </w:pPr>
      <w:r>
        <w:rPr>
          <w:rFonts w:ascii="Aptos" w:hAnsi="Aptos"/>
          <w:b w:val="0"/>
          <w:i w:val="0"/>
          <w:color w:val="000000"/>
          <w:sz w:val="21"/>
        </w:rPr>
        <w:t xml:space="preserve">• </w:t>
      </w:r>
      <w:r>
        <w:rPr>
          <w:rFonts w:ascii="Aptos" w:hAnsi="Aptos"/>
          <w:b w:val="0"/>
          <w:i w:val="0"/>
          <w:color w:val="000000"/>
          <w:sz w:val="21"/>
        </w:rPr>
        <w:t>TR10 is a subset of TR20, TR20 is a subset of TR30 and TR30 is a subset of TR40.</w:t>
      </w:r>
    </w:p>
    <w:p>
      <w:pPr>
        <w:spacing w:after="60"/>
        <w:ind w:left="346" w:hanging="202"/>
      </w:pPr>
      <w:r>
        <w:rPr>
          <w:rFonts w:ascii="Aptos" w:hAnsi="Aptos"/>
          <w:b w:val="0"/>
          <w:i w:val="0"/>
          <w:color w:val="000000"/>
          <w:sz w:val="21"/>
        </w:rPr>
        <w:t xml:space="preserve">• </w:t>
      </w:r>
      <w:r>
        <w:rPr>
          <w:rFonts w:ascii="Aptos" w:hAnsi="Aptos"/>
          <w:b w:val="0"/>
          <w:i w:val="0"/>
          <w:color w:val="000000"/>
          <w:sz w:val="21"/>
        </w:rPr>
        <w:t>All partitions are disjoint, contain no duplicate IDs and account for all 45,954 labelled nodes.</w:t>
      </w:r>
    </w:p>
    <w:p>
      <w:pPr>
        <w:spacing w:after="60"/>
        <w:ind w:left="346" w:hanging="202"/>
      </w:pPr>
      <w:r>
        <w:rPr>
          <w:rFonts w:ascii="Aptos" w:hAnsi="Aptos"/>
          <w:b w:val="0"/>
          <w:i w:val="0"/>
          <w:color w:val="000000"/>
          <w:sz w:val="21"/>
        </w:rPr>
        <w:t xml:space="preserve">• </w:t>
      </w:r>
      <w:r>
        <w:rPr>
          <w:rFonts w:ascii="Aptos" w:hAnsi="Aptos"/>
          <w:b w:val="0"/>
          <w:i w:val="0"/>
          <w:color w:val="000000"/>
          <w:sz w:val="21"/>
        </w:rPr>
        <w:t>For a given ratio, the train IDs are byte-identical across seeds 2, 42 and 72; validation and test IDs are identical for all 12 runs.</w:t>
      </w:r>
    </w:p>
    <w:p>
      <w:pPr>
        <w:pStyle w:val="Heading1"/>
      </w:pPr>
      <w:r>
        <w:t>4 Final controlled configuration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50"/>
        <w:gridCol w:w="7200"/>
      </w:tblGrid>
      <w:tr>
        <w:trPr>
          <w:cantSplit/>
          <w:tblHeader w:val="true"/>
        </w:trPr>
        <w:tc>
          <w:tcPr>
            <w:tcW w:type="dxa" w:w="2150"/>
            <w:tcMar>
              <w:top w:w="75" w:type="dxa"/>
              <w:start w:w="85" w:type="dxa"/>
              <w:bottom w:w="75" w:type="dxa"/>
              <w:end w:w="85" w:type="dxa"/>
            </w:tcMar>
            <w:shd w:fill="17365D"/>
            <w:vAlign w:val="center"/>
          </w:tcPr>
          <w:p>
            <w:pPr>
              <w:pStyle w:val="TableText"/>
              <w:jc w:val="center"/>
            </w:pPr>
            <w:r>
              <w:rPr>
                <w:rFonts w:ascii="Aptos" w:hAnsi="Aptos"/>
                <w:b/>
                <w:i w:val="0"/>
                <w:color w:val="FFFFFF"/>
                <w:sz w:val="17"/>
              </w:rPr>
              <w:t>Field</w:t>
            </w:r>
          </w:p>
        </w:tc>
        <w:tc>
          <w:tcPr>
            <w:tcW w:type="dxa" w:w="7200"/>
            <w:tcMar>
              <w:top w:w="75" w:type="dxa"/>
              <w:start w:w="85" w:type="dxa"/>
              <w:bottom w:w="75" w:type="dxa"/>
              <w:end w:w="85" w:type="dxa"/>
            </w:tcMar>
            <w:shd w:fill="17365D"/>
            <w:vAlign w:val="center"/>
          </w:tcPr>
          <w:p>
            <w:pPr>
              <w:pStyle w:val="TableText"/>
              <w:jc w:val="center"/>
            </w:pPr>
            <w:r>
              <w:rPr>
                <w:rFonts w:ascii="Aptos" w:hAnsi="Aptos"/>
                <w:b/>
                <w:i w:val="0"/>
                <w:color w:val="FFFFFF"/>
                <w:sz w:val="17"/>
              </w:rPr>
              <w:t>Recorded value</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Model</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PC-GNN with multi relation GNN aggregator</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Architecture status</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Original PC-GNN sampling, neighbour selection and aggregation mechanism preserved</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Selected rho</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0.4, frozen after TR40 validation-only tuning</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Alpha</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2</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Embedding dimension</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64</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Optimizer</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Adam</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Learning rate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0.01</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Weight decay</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0.001</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Batch size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1,024</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Epochs and validation</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100 epochs; validation every 5 epochs</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Checkpoint selection</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Highest validation AUROC</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Classification threshold</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0.5 fixed</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Training seeds</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2, 42 and 72</w:t>
            </w:r>
          </w:p>
        </w:tc>
      </w:tr>
      <w:tr>
        <w:trPr>
          <w:cantSplit/>
        </w:trPr>
        <w:tc>
          <w:tcPr>
            <w:tcW w:type="dxa" w:w="215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Hardware</w:t>
            </w:r>
          </w:p>
        </w:tc>
        <w:tc>
          <w:tcPr>
            <w:tcW w:type="dxa" w:w="7200"/>
            <w:tcMar>
              <w:top w:w="70" w:type="dxa"/>
              <w:start w:w="85" w:type="dxa"/>
              <w:bottom w:w="70" w:type="dxa"/>
              <w:end w:w="85" w:type="dxa"/>
            </w:tcMar>
            <w:shd w:fill="F5F8FC"/>
            <w:vAlign w:val="center"/>
          </w:tcPr>
          <w:p>
            <w:pPr>
              <w:pStyle w:val="TableText"/>
              <w:jc w:val="left"/>
            </w:pPr>
            <w:r>
              <w:rPr>
                <w:rFonts w:ascii="Aptos" w:hAnsi="Aptos"/>
                <w:b w:val="0"/>
                <w:i w:val="0"/>
                <w:color w:val="000000"/>
                <w:sz w:val="17"/>
              </w:rPr>
              <w:t>Kaggle Linux; one NVIDIA Tesla T4 on GPU 0; 14.56 GiB VRAM</w:t>
            </w:r>
          </w:p>
        </w:tc>
      </w:tr>
      <w:tr>
        <w:trPr>
          <w:cantSplit/>
        </w:trPr>
        <w:tc>
          <w:tcPr>
            <w:tcW w:type="dxa" w:w="2150"/>
            <w:tcMar>
              <w:top w:w="70" w:type="dxa"/>
              <w:start w:w="85" w:type="dxa"/>
              <w:bottom w:w="70" w:type="dxa"/>
              <w:end w:w="85" w:type="dxa"/>
            </w:tcMar>
            <w:vAlign w:val="center"/>
          </w:tcPr>
          <w:p>
            <w:pPr>
              <w:pStyle w:val="TableText"/>
              <w:jc w:val="left"/>
            </w:pPr>
            <w:r>
              <w:rPr>
                <w:rFonts w:ascii="Aptos" w:hAnsi="Aptos"/>
                <w:b w:val="0"/>
                <w:i w:val="0"/>
                <w:color w:val="000000"/>
                <w:sz w:val="17"/>
              </w:rPr>
              <w:t>Software</w:t>
            </w:r>
          </w:p>
        </w:tc>
        <w:tc>
          <w:tcPr>
            <w:tcW w:type="dxa" w:w="7200"/>
            <w:tcMar>
              <w:top w:w="70" w:type="dxa"/>
              <w:start w:w="85" w:type="dxa"/>
              <w:bottom w:w="70" w:type="dxa"/>
              <w:end w:w="85" w:type="dxa"/>
            </w:tcMar>
            <w:vAlign w:val="center"/>
          </w:tcPr>
          <w:p>
            <w:pPr>
              <w:pStyle w:val="TableText"/>
              <w:jc w:val="left"/>
            </w:pPr>
            <w:r>
              <w:rPr>
                <w:rFonts w:ascii="Aptos" w:hAnsi="Aptos"/>
                <w:b w:val="0"/>
                <w:i w:val="0"/>
                <w:color w:val="000000"/>
                <w:sz w:val="17"/>
              </w:rPr>
              <w:t>Python 3.12.13; PyTorch 2.10.0 plus cu128; CUDA 12.8; NumPy 2.0.2</w:t>
            </w:r>
          </w:p>
        </w:tc>
      </w:tr>
    </w:tbl>
    <w:p>
      <w:pPr>
        <w:spacing w:after="20"/>
      </w:pPr>
    </w:p>
    <w:p>
      <w:pPr>
        <w:pStyle w:val="Heading1"/>
      </w:pPr>
      <w:r>
        <w:t>5 Validation only rho tuning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50"/>
        <w:gridCol w:w="2100"/>
        <w:gridCol w:w="2850"/>
        <w:gridCol w:w="1050"/>
        <w:gridCol w:w="2400"/>
      </w:tblGrid>
      <w:tr>
        <w:trPr>
          <w:cantSplit/>
          <w:tblHeader w:val="true"/>
        </w:trPr>
        <w:tc>
          <w:tcPr>
            <w:tcW w:type="dxa" w:w="950"/>
            <w:tcMar>
              <w:top w:w="75" w:type="dxa"/>
              <w:start w:w="85" w:type="dxa"/>
              <w:bottom w:w="75" w:type="dxa"/>
              <w:end w:w="85" w:type="dxa"/>
            </w:tcMar>
            <w:shd w:fill="17365D"/>
            <w:vAlign w:val="center"/>
          </w:tcPr>
          <w:p>
            <w:pPr>
              <w:pStyle w:val="TableText"/>
              <w:jc w:val="center"/>
            </w:pPr>
            <w:r>
              <w:rPr>
                <w:rFonts w:ascii="Aptos" w:hAnsi="Aptos"/>
                <w:b/>
                <w:i w:val="0"/>
                <w:color w:val="FFFFFF"/>
                <w:sz w:val="16"/>
              </w:rPr>
              <w:t>rho</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Best validation AUROC</w:t>
            </w:r>
          </w:p>
        </w:tc>
        <w:tc>
          <w:tcPr>
            <w:tcW w:type="dxa" w:w="2850"/>
            <w:tcMar>
              <w:top w:w="75" w:type="dxa"/>
              <w:start w:w="85" w:type="dxa"/>
              <w:bottom w:w="75" w:type="dxa"/>
              <w:end w:w="85" w:type="dxa"/>
            </w:tcMar>
            <w:shd w:fill="17365D"/>
            <w:vAlign w:val="center"/>
          </w:tcPr>
          <w:p>
            <w:pPr>
              <w:pStyle w:val="TableText"/>
              <w:jc w:val="center"/>
            </w:pPr>
            <w:r>
              <w:rPr>
                <w:rFonts w:ascii="Aptos" w:hAnsi="Aptos"/>
                <w:b/>
                <w:i w:val="0"/>
                <w:color w:val="FFFFFF"/>
                <w:sz w:val="16"/>
              </w:rPr>
              <w:t>Macro F1 at selected checkpoint</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6"/>
              </w:rPr>
              <w:t>Epoch</w:t>
            </w:r>
          </w:p>
        </w:tc>
        <w:tc>
          <w:tcPr>
            <w:tcW w:type="dxa" w:w="2400"/>
            <w:tcMar>
              <w:top w:w="75" w:type="dxa"/>
              <w:start w:w="85" w:type="dxa"/>
              <w:bottom w:w="75" w:type="dxa"/>
              <w:end w:w="85" w:type="dxa"/>
            </w:tcMar>
            <w:shd w:fill="17365D"/>
            <w:vAlign w:val="center"/>
          </w:tcPr>
          <w:p>
            <w:pPr>
              <w:pStyle w:val="TableText"/>
              <w:jc w:val="center"/>
            </w:pPr>
            <w:r>
              <w:rPr>
                <w:rFonts w:ascii="Aptos" w:hAnsi="Aptos"/>
                <w:b/>
                <w:i w:val="0"/>
                <w:color w:val="FFFFFF"/>
                <w:sz w:val="16"/>
              </w:rPr>
              <w:t>Decision</w:t>
            </w:r>
          </w:p>
        </w:tc>
      </w:tr>
      <w:tr>
        <w:trPr>
          <w:cantSplit/>
        </w:trPr>
        <w:tc>
          <w:tcPr>
            <w:tcW w:type="dxa" w:w="950"/>
            <w:tcMar>
              <w:top w:w="70" w:type="dxa"/>
              <w:start w:w="85" w:type="dxa"/>
              <w:bottom w:w="70" w:type="dxa"/>
              <w:end w:w="85" w:type="dxa"/>
            </w:tcMar>
            <w:vAlign w:val="center"/>
          </w:tcPr>
          <w:p>
            <w:pPr>
              <w:pStyle w:val="TableText"/>
              <w:jc w:val="center"/>
            </w:pPr>
            <w:r>
              <w:rPr>
                <w:rFonts w:ascii="Aptos" w:hAnsi="Aptos"/>
                <w:b w:val="0"/>
                <w:i w:val="0"/>
                <w:color w:val="000000"/>
                <w:sz w:val="16"/>
              </w:rPr>
              <w:t>0.2</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0.832842</w:t>
            </w:r>
          </w:p>
        </w:tc>
        <w:tc>
          <w:tcPr>
            <w:tcW w:type="dxa" w:w="2850"/>
            <w:tcMar>
              <w:top w:w="70" w:type="dxa"/>
              <w:start w:w="85" w:type="dxa"/>
              <w:bottom w:w="70" w:type="dxa"/>
              <w:end w:w="85" w:type="dxa"/>
            </w:tcMar>
            <w:vAlign w:val="center"/>
          </w:tcPr>
          <w:p>
            <w:pPr>
              <w:pStyle w:val="TableText"/>
              <w:jc w:val="center"/>
            </w:pPr>
            <w:r>
              <w:rPr>
                <w:rFonts w:ascii="Aptos" w:hAnsi="Aptos"/>
                <w:b w:val="0"/>
                <w:i w:val="0"/>
                <w:color w:val="000000"/>
                <w:sz w:val="16"/>
              </w:rPr>
              <w:t>0.640469</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240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r>
        <w:trPr>
          <w:cantSplit/>
        </w:trPr>
        <w:tc>
          <w:tcPr>
            <w:tcW w:type="dxa" w:w="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0.840387</w:t>
            </w:r>
          </w:p>
        </w:tc>
        <w:tc>
          <w:tcPr>
            <w:tcW w:type="dxa" w:w="2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0.641565</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c>
          <w:tcPr>
            <w:tcW w:type="dxa" w:w="24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Selected</w:t>
            </w:r>
          </w:p>
        </w:tc>
      </w:tr>
      <w:tr>
        <w:trPr>
          <w:cantSplit/>
        </w:trPr>
        <w:tc>
          <w:tcPr>
            <w:tcW w:type="dxa" w:w="950"/>
            <w:tcMar>
              <w:top w:w="70" w:type="dxa"/>
              <w:start w:w="85" w:type="dxa"/>
              <w:bottom w:w="70" w:type="dxa"/>
              <w:end w:w="85" w:type="dxa"/>
            </w:tcMar>
            <w:vAlign w:val="center"/>
          </w:tcPr>
          <w:p>
            <w:pPr>
              <w:pStyle w:val="TableText"/>
              <w:jc w:val="center"/>
            </w:pPr>
            <w:r>
              <w:rPr>
                <w:rFonts w:ascii="Aptos" w:hAnsi="Aptos"/>
                <w:b w:val="0"/>
                <w:i w:val="0"/>
                <w:color w:val="000000"/>
                <w:sz w:val="16"/>
              </w:rPr>
              <w:t>0.5</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0.835192</w:t>
            </w:r>
          </w:p>
        </w:tc>
        <w:tc>
          <w:tcPr>
            <w:tcW w:type="dxa" w:w="2850"/>
            <w:tcMar>
              <w:top w:w="70" w:type="dxa"/>
              <w:start w:w="85" w:type="dxa"/>
              <w:bottom w:w="70" w:type="dxa"/>
              <w:end w:w="85" w:type="dxa"/>
            </w:tcMar>
            <w:vAlign w:val="center"/>
          </w:tcPr>
          <w:p>
            <w:pPr>
              <w:pStyle w:val="TableText"/>
              <w:jc w:val="center"/>
            </w:pPr>
            <w:r>
              <w:rPr>
                <w:rFonts w:ascii="Aptos" w:hAnsi="Aptos"/>
                <w:b w:val="0"/>
                <w:i w:val="0"/>
                <w:color w:val="000000"/>
                <w:sz w:val="16"/>
              </w:rPr>
              <w:t>0.625000</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240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r>
        <w:trPr>
          <w:cantSplit/>
        </w:trPr>
        <w:tc>
          <w:tcPr>
            <w:tcW w:type="dxa" w:w="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0.826718</w:t>
            </w:r>
          </w:p>
        </w:tc>
        <w:tc>
          <w:tcPr>
            <w:tcW w:type="dxa" w:w="2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0.654267</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c>
          <w:tcPr>
            <w:tcW w:type="dxa" w:w="24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Not selected</w:t>
            </w:r>
          </w:p>
        </w:tc>
      </w:tr>
      <w:tr>
        <w:trPr>
          <w:cantSplit/>
        </w:trPr>
        <w:tc>
          <w:tcPr>
            <w:tcW w:type="dxa" w:w="950"/>
            <w:tcMar>
              <w:top w:w="70" w:type="dxa"/>
              <w:start w:w="85" w:type="dxa"/>
              <w:bottom w:w="70" w:type="dxa"/>
              <w:end w:w="85" w:type="dxa"/>
            </w:tcMar>
            <w:vAlign w:val="center"/>
          </w:tcPr>
          <w:p>
            <w:pPr>
              <w:pStyle w:val="TableText"/>
              <w:jc w:val="center"/>
            </w:pPr>
            <w:r>
              <w:rPr>
                <w:rFonts w:ascii="Aptos" w:hAnsi="Aptos"/>
                <w:b w:val="0"/>
                <w:i w:val="0"/>
                <w:color w:val="000000"/>
                <w:sz w:val="16"/>
              </w:rPr>
              <w:t>0.8</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0.813012</w:t>
            </w:r>
          </w:p>
        </w:tc>
        <w:tc>
          <w:tcPr>
            <w:tcW w:type="dxa" w:w="2850"/>
            <w:tcMar>
              <w:top w:w="70" w:type="dxa"/>
              <w:start w:w="85" w:type="dxa"/>
              <w:bottom w:w="70" w:type="dxa"/>
              <w:end w:w="85" w:type="dxa"/>
            </w:tcMar>
            <w:vAlign w:val="center"/>
          </w:tcPr>
          <w:p>
            <w:pPr>
              <w:pStyle w:val="TableText"/>
              <w:jc w:val="center"/>
            </w:pPr>
            <w:r>
              <w:rPr>
                <w:rFonts w:ascii="Aptos" w:hAnsi="Aptos"/>
                <w:b w:val="0"/>
                <w:i w:val="0"/>
                <w:color w:val="000000"/>
                <w:sz w:val="16"/>
              </w:rPr>
              <w:t>0.651748</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c>
          <w:tcPr>
            <w:tcW w:type="dxa" w:w="2400"/>
            <w:tcMar>
              <w:top w:w="70" w:type="dxa"/>
              <w:start w:w="85" w:type="dxa"/>
              <w:bottom w:w="70" w:type="dxa"/>
              <w:end w:w="85" w:type="dxa"/>
            </w:tcMar>
            <w:vAlign w:val="center"/>
          </w:tcPr>
          <w:p>
            <w:pPr>
              <w:pStyle w:val="TableText"/>
              <w:jc w:val="center"/>
            </w:pPr>
            <w:r>
              <w:rPr>
                <w:rFonts w:ascii="Aptos" w:hAnsi="Aptos"/>
                <w:b w:val="0"/>
                <w:i w:val="0"/>
                <w:color w:val="000000"/>
                <w:sz w:val="16"/>
              </w:rPr>
              <w:t>Not selected</w:t>
            </w:r>
          </w:p>
        </w:tc>
      </w:tr>
    </w:tbl>
    <w:p>
      <w:pPr>
        <w:spacing w:after="20"/>
      </w:pPr>
    </w:p>
    <w:p>
      <w:r>
        <w:rPr>
          <w:rFonts w:ascii="Aptos" w:hAnsi="Aptos"/>
          <w:b/>
          <w:i w:val="0"/>
          <w:color w:val="000000"/>
          <w:sz w:val="18"/>
        </w:rPr>
        <w:t xml:space="preserve">Decision. </w:t>
      </w:r>
      <w:r>
        <w:t>rho 0.4 achieved the highest recorded validation AUROC, 0.840387, and was frozen for every final ratio and seed. The test set was not used to choose rho. The tuning seed was 72 and the split seed was 2.</w:t>
      </w:r>
    </w:p>
    <w:p>
      <w:pPr>
        <w:pStyle w:val="Heading1"/>
      </w:pPr>
      <w:r>
        <w:t>6 Seed level test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700"/>
        <w:gridCol w:w="1250"/>
        <w:gridCol w:w="1250"/>
        <w:gridCol w:w="1150"/>
        <w:gridCol w:w="1250"/>
        <w:gridCol w:w="1250"/>
        <w:gridCol w:w="1600"/>
      </w:tblGrid>
      <w:tr>
        <w:trPr>
          <w:cantSplit/>
          <w:tblHeader w:val="true"/>
        </w:trPr>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700"/>
            <w:tcMar>
              <w:top w:w="75" w:type="dxa"/>
              <w:start w:w="85" w:type="dxa"/>
              <w:bottom w:w="75" w:type="dxa"/>
              <w:end w:w="85" w:type="dxa"/>
            </w:tcMar>
            <w:shd w:fill="17365D"/>
            <w:vAlign w:val="center"/>
          </w:tcPr>
          <w:p>
            <w:pPr>
              <w:pStyle w:val="TableText"/>
              <w:jc w:val="center"/>
            </w:pPr>
            <w:r>
              <w:rPr>
                <w:rFonts w:ascii="Aptos" w:hAnsi="Aptos"/>
                <w:b/>
                <w:i w:val="0"/>
                <w:color w:val="FFFFFF"/>
                <w:sz w:val="15"/>
              </w:rPr>
              <w:t>Seed</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Val AUROC</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Test AUROC</w:t>
            </w:r>
          </w:p>
        </w:tc>
        <w:tc>
          <w:tcPr>
            <w:tcW w:type="dxa" w:w="1150"/>
            <w:tcMar>
              <w:top w:w="75" w:type="dxa"/>
              <w:start w:w="85" w:type="dxa"/>
              <w:bottom w:w="75" w:type="dxa"/>
              <w:end w:w="85" w:type="dxa"/>
            </w:tcMar>
            <w:shd w:fill="17365D"/>
            <w:vAlign w:val="center"/>
          </w:tcPr>
          <w:p>
            <w:pPr>
              <w:pStyle w:val="TableText"/>
              <w:jc w:val="center"/>
            </w:pPr>
            <w:r>
              <w:rPr>
                <w:rFonts w:ascii="Aptos" w:hAnsi="Aptos"/>
                <w:b/>
                <w:i w:val="0"/>
                <w:color w:val="FFFFFF"/>
                <w:sz w:val="15"/>
              </w:rPr>
              <w:t>AUPRC</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Macro F1</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F1</w:t>
            </w:r>
          </w:p>
        </w:tc>
        <w:tc>
          <w:tcPr>
            <w:tcW w:type="dxa" w:w="1600"/>
            <w:tcMar>
              <w:top w:w="75" w:type="dxa"/>
              <w:start w:w="85" w:type="dxa"/>
              <w:bottom w:w="75" w:type="dxa"/>
              <w:end w:w="85" w:type="dxa"/>
            </w:tcMar>
            <w:shd w:fill="17365D"/>
            <w:vAlign w:val="center"/>
          </w:tcPr>
          <w:p>
            <w:pPr>
              <w:pStyle w:val="TableText"/>
              <w:jc w:val="center"/>
            </w:pPr>
            <w:r>
              <w:rPr>
                <w:rFonts w:ascii="Aptos" w:hAnsi="Aptos"/>
                <w:b/>
                <w:i w:val="0"/>
                <w:color w:val="FFFFFF"/>
                <w:sz w:val="15"/>
              </w:rPr>
              <w:t>G Mean</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0.8283</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0.8331</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0.5158</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0.5746</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0.4090</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0.7192</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TR40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0.8321</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0.8385</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0.5213</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0.6587</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0.4770</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0.7604</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0.8404</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0.8442</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0.5363</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0.6483</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0.4689</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0.7602</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0.8326</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0.8366</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0.5183</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0.6447</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0.4639</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0.7559</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TR30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0.8266</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0.8316</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0.5071</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0.6281</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0.4482</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0.7473</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0.8276</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0.8317</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0.5076</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0.6458</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0.4632</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0.7532</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0.8080</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0.8136</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0.4849</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0.6422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0.4522</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0.7375</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TR20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0.8023</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0.8067</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0.4762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0.5639</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0.3946</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0.7033</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0.8180</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0.8243</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0.4945</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0.6612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0.4724</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0.7466</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0.7921</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0.7969</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0.4598</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0.6749</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0.4723</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0.7144</w:t>
            </w:r>
          </w:p>
        </w:tc>
      </w:tr>
      <w:tr>
        <w:trPr>
          <w:cantSplit/>
        </w:trPr>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TR10</w:t>
            </w:r>
          </w:p>
        </w:tc>
        <w:tc>
          <w:tcPr>
            <w:tcW w:type="dxa" w:w="7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0.7879</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0.7934</w:t>
            </w:r>
          </w:p>
        </w:tc>
        <w:tc>
          <w:tcPr>
            <w:tcW w:type="dxa" w:w="1150"/>
            <w:tcMar>
              <w:top w:w="70" w:type="dxa"/>
              <w:start w:w="85" w:type="dxa"/>
              <w:bottom w:w="70" w:type="dxa"/>
              <w:end w:w="85" w:type="dxa"/>
            </w:tcMar>
            <w:vAlign w:val="center"/>
          </w:tcPr>
          <w:p>
            <w:pPr>
              <w:pStyle w:val="TableText"/>
              <w:jc w:val="center"/>
            </w:pPr>
            <w:r>
              <w:rPr>
                <w:rFonts w:ascii="Aptos" w:hAnsi="Aptos"/>
                <w:b w:val="0"/>
                <w:i w:val="0"/>
                <w:color w:val="000000"/>
                <w:sz w:val="15"/>
              </w:rPr>
              <w:t>0.4547</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0.6015</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0.4153</w:t>
            </w:r>
          </w:p>
        </w:tc>
        <w:tc>
          <w:tcPr>
            <w:tcW w:type="dxa" w:w="1600"/>
            <w:tcMar>
              <w:top w:w="70" w:type="dxa"/>
              <w:start w:w="85" w:type="dxa"/>
              <w:bottom w:w="70" w:type="dxa"/>
              <w:end w:w="85" w:type="dxa"/>
            </w:tcMar>
            <w:vAlign w:val="center"/>
          </w:tcPr>
          <w:p>
            <w:pPr>
              <w:pStyle w:val="TableText"/>
              <w:jc w:val="center"/>
            </w:pPr>
            <w:r>
              <w:rPr>
                <w:rFonts w:ascii="Aptos" w:hAnsi="Aptos"/>
                <w:b w:val="0"/>
                <w:i w:val="0"/>
                <w:color w:val="000000"/>
                <w:sz w:val="15"/>
              </w:rPr>
              <w:t>0.7175</w:t>
            </w:r>
          </w:p>
        </w:tc>
      </w:tr>
      <w:tr>
        <w:trPr>
          <w:cantSplit/>
        </w:trPr>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7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0.7941</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0.7978</w:t>
            </w:r>
          </w:p>
        </w:tc>
        <w:tc>
          <w:tcPr>
            <w:tcW w:type="dxa" w:w="11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0.4588</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0.6791</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0.4766</w:t>
            </w:r>
          </w:p>
        </w:tc>
        <w:tc>
          <w:tcPr>
            <w:tcW w:type="dxa" w:w="1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0.7136</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600"/>
        <w:gridCol w:w="1400"/>
        <w:gridCol w:w="1350"/>
        <w:gridCol w:w="1050"/>
        <w:gridCol w:w="900"/>
        <w:gridCol w:w="900"/>
        <w:gridCol w:w="1050"/>
        <w:gridCol w:w="1300"/>
      </w:tblGrid>
      <w:tr>
        <w:trPr>
          <w:cantSplit/>
          <w:tblHeader w:val="true"/>
        </w:trPr>
        <w:tc>
          <w:tcPr>
            <w:tcW w:type="dxa" w:w="80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600"/>
            <w:tcMar>
              <w:top w:w="75" w:type="dxa"/>
              <w:start w:w="85" w:type="dxa"/>
              <w:bottom w:w="75" w:type="dxa"/>
              <w:end w:w="85" w:type="dxa"/>
            </w:tcMar>
            <w:shd w:fill="17365D"/>
            <w:vAlign w:val="center"/>
          </w:tcPr>
          <w:p>
            <w:pPr>
              <w:pStyle w:val="TableText"/>
              <w:jc w:val="center"/>
            </w:pPr>
            <w:r>
              <w:rPr>
                <w:rFonts w:ascii="Aptos" w:hAnsi="Aptos"/>
                <w:b/>
                <w:i w:val="0"/>
                <w:color w:val="FFFFFF"/>
                <w:sz w:val="15"/>
              </w:rPr>
              <w:t>Seed</w:t>
            </w:r>
          </w:p>
        </w:tc>
        <w:tc>
          <w:tcPr>
            <w:tcW w:type="dxa" w:w="140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precision</w:t>
            </w:r>
          </w:p>
        </w:tc>
        <w:tc>
          <w:tcPr>
            <w:tcW w:type="dxa" w:w="13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recall</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5"/>
              </w:rPr>
              <w:t>Accuracy</w:t>
            </w:r>
          </w:p>
        </w:tc>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5"/>
              </w:rPr>
              <w:t>TP</w:t>
            </w:r>
          </w:p>
        </w:tc>
        <w:tc>
          <w:tcPr>
            <w:tcW w:type="dxa" w:w="900"/>
            <w:tcMar>
              <w:top w:w="75" w:type="dxa"/>
              <w:start w:w="85" w:type="dxa"/>
              <w:bottom w:w="75" w:type="dxa"/>
              <w:end w:w="85" w:type="dxa"/>
            </w:tcMar>
            <w:shd w:fill="17365D"/>
            <w:vAlign w:val="center"/>
          </w:tcPr>
          <w:p>
            <w:pPr>
              <w:pStyle w:val="TableText"/>
              <w:jc w:val="center"/>
            </w:pPr>
            <w:r>
              <w:rPr>
                <w:rFonts w:ascii="Aptos" w:hAnsi="Aptos"/>
                <w:b/>
                <w:i w:val="0"/>
                <w:color w:val="FFFFFF"/>
                <w:sz w:val="15"/>
              </w:rPr>
              <w:t>FN</w:t>
            </w:r>
          </w:p>
        </w:tc>
        <w:tc>
          <w:tcPr>
            <w:tcW w:type="dxa" w:w="1050"/>
            <w:tcMar>
              <w:top w:w="75" w:type="dxa"/>
              <w:start w:w="85" w:type="dxa"/>
              <w:bottom w:w="75" w:type="dxa"/>
              <w:end w:w="85" w:type="dxa"/>
            </w:tcMar>
            <w:shd w:fill="17365D"/>
            <w:vAlign w:val="center"/>
          </w:tcPr>
          <w:p>
            <w:pPr>
              <w:pStyle w:val="TableText"/>
              <w:jc w:val="center"/>
            </w:pPr>
            <w:r>
              <w:rPr>
                <w:rFonts w:ascii="Aptos" w:hAnsi="Aptos"/>
                <w:b/>
                <w:i w:val="0"/>
                <w:color w:val="FFFFFF"/>
                <w:sz w:val="15"/>
              </w:rPr>
              <w:t>FP</w:t>
            </w:r>
          </w:p>
        </w:tc>
        <w:tc>
          <w:tcPr>
            <w:tcW w:type="dxa" w:w="1300"/>
            <w:tcMar>
              <w:top w:w="75" w:type="dxa"/>
              <w:start w:w="85" w:type="dxa"/>
              <w:bottom w:w="75" w:type="dxa"/>
              <w:end w:w="85" w:type="dxa"/>
            </w:tcMar>
            <w:shd w:fill="17365D"/>
            <w:vAlign w:val="center"/>
          </w:tcPr>
          <w:p>
            <w:pPr>
              <w:pStyle w:val="TableText"/>
              <w:jc w:val="center"/>
            </w:pPr>
            <w:r>
              <w:rPr>
                <w:rFonts w:ascii="Aptos" w:hAnsi="Aptos"/>
                <w:b/>
                <w:i w:val="0"/>
                <w:color w:val="FFFFFF"/>
                <w:sz w:val="15"/>
              </w:rPr>
              <w:t>TN</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0.2683</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0.8599</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0.6390</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2308</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376</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6293</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9497</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0.3460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0.7675</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0.7555</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2060</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624</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3893</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11897</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0.3333</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0.7902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0.7399</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2121</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563</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4242</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11548</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0.3294</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0.7843</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0.7367</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2105</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579</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4286</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11504</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0.3119</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0.7962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0.7152</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2137</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547</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4715</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11075</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0.3308</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0.7724</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0.7400</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2073</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611</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4193</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11597</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0.3276</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0.7295</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0.7432</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1958</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726</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4018</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11772</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0.2587</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0.8308</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0.6296</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2230</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454</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6389</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9401</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0.3515</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0.7198</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0.7664</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1932</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752</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3564</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12226</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0.3844</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0.6125</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0.8012</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1644</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1040</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2633</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13157</w:t>
            </w:r>
          </w:p>
        </w:tc>
      </w:tr>
      <w:tr>
        <w:trPr>
          <w:cantSplit/>
        </w:trPr>
        <w:tc>
          <w:tcPr>
            <w:tcW w:type="dxa" w:w="800"/>
            <w:tcMar>
              <w:top w:w="70" w:type="dxa"/>
              <w:start w:w="85" w:type="dxa"/>
              <w:bottom w:w="70" w:type="dxa"/>
              <w:end w:w="85" w:type="dxa"/>
            </w:tcMar>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400"/>
            <w:tcMar>
              <w:top w:w="70" w:type="dxa"/>
              <w:start w:w="85" w:type="dxa"/>
              <w:bottom w:w="70" w:type="dxa"/>
              <w:end w:w="85" w:type="dxa"/>
            </w:tcMar>
            <w:vAlign w:val="center"/>
          </w:tcPr>
          <w:p>
            <w:pPr>
              <w:pStyle w:val="TableText"/>
              <w:jc w:val="center"/>
            </w:pPr>
            <w:r>
              <w:rPr>
                <w:rFonts w:ascii="Aptos" w:hAnsi="Aptos"/>
                <w:b w:val="0"/>
                <w:i w:val="0"/>
                <w:color w:val="000000"/>
                <w:sz w:val="15"/>
              </w:rPr>
              <w:t>0.2855</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5"/>
              </w:rPr>
              <w:t>0.7615</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0.6884</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2044</w:t>
            </w:r>
          </w:p>
        </w:tc>
        <w:tc>
          <w:tcPr>
            <w:tcW w:type="dxa" w:w="900"/>
            <w:tcMar>
              <w:top w:w="70" w:type="dxa"/>
              <w:start w:w="85" w:type="dxa"/>
              <w:bottom w:w="70" w:type="dxa"/>
              <w:end w:w="85" w:type="dxa"/>
            </w:tcMar>
            <w:vAlign w:val="center"/>
          </w:tcPr>
          <w:p>
            <w:pPr>
              <w:pStyle w:val="TableText"/>
              <w:jc w:val="center"/>
            </w:pPr>
            <w:r>
              <w:rPr>
                <w:rFonts w:ascii="Aptos" w:hAnsi="Aptos"/>
                <w:b w:val="0"/>
                <w:i w:val="0"/>
                <w:color w:val="000000"/>
                <w:sz w:val="15"/>
              </w:rPr>
              <w:t>640</w:t>
            </w:r>
          </w:p>
        </w:tc>
        <w:tc>
          <w:tcPr>
            <w:tcW w:type="dxa" w:w="1050"/>
            <w:tcMar>
              <w:top w:w="70" w:type="dxa"/>
              <w:start w:w="85" w:type="dxa"/>
              <w:bottom w:w="70" w:type="dxa"/>
              <w:end w:w="85" w:type="dxa"/>
            </w:tcMar>
            <w:vAlign w:val="center"/>
          </w:tcPr>
          <w:p>
            <w:pPr>
              <w:pStyle w:val="TableText"/>
              <w:jc w:val="center"/>
            </w:pPr>
            <w:r>
              <w:rPr>
                <w:rFonts w:ascii="Aptos" w:hAnsi="Aptos"/>
                <w:b w:val="0"/>
                <w:i w:val="0"/>
                <w:color w:val="000000"/>
                <w:sz w:val="15"/>
              </w:rPr>
              <w:t>5116</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10674</w:t>
            </w:r>
          </w:p>
        </w:tc>
      </w:tr>
      <w:tr>
        <w:trPr>
          <w:cantSplit/>
        </w:trPr>
        <w:tc>
          <w:tcPr>
            <w:tcW w:type="dxa" w:w="8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4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0.3930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0.6054</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0.8068</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1625</w:t>
            </w:r>
          </w:p>
        </w:tc>
        <w:tc>
          <w:tcPr>
            <w:tcW w:type="dxa" w:w="9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1059</w:t>
            </w:r>
          </w:p>
        </w:tc>
        <w:tc>
          <w:tcPr>
            <w:tcW w:type="dxa" w:w="10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2510</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13280</w:t>
            </w:r>
          </w:p>
        </w:tc>
      </w:tr>
    </w:tbl>
    <w:p>
      <w:pPr>
        <w:spacing w:after="20"/>
      </w:pPr>
    </w:p>
    <w:p>
      <w:pPr>
        <w:spacing w:after="120"/>
      </w:pPr>
      <w:r>
        <w:rPr>
          <w:rFonts w:ascii="Aptos" w:hAnsi="Aptos"/>
          <w:b w:val="0"/>
          <w:i/>
          <w:color w:val="666666"/>
          <w:sz w:val="17"/>
        </w:rPr>
        <w:t>All test metrics were evaluated from checkpoints selected by validation AUROC. Threshold-dependent values use the fixed threshold 0.5.</w:t>
      </w:r>
    </w:p>
    <w:p>
      <w:pPr>
        <w:pStyle w:val="Heading1"/>
        <w:pageBreakBefore/>
      </w:pPr>
      <w:r>
        <w:t>7 Three seed aggregate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50"/>
        <w:gridCol w:w="1450"/>
        <w:gridCol w:w="1450"/>
        <w:gridCol w:w="1450"/>
        <w:gridCol w:w="1450"/>
        <w:gridCol w:w="1300"/>
      </w:tblGrid>
      <w:tr>
        <w:trPr>
          <w:cantSplit/>
          <w:tblHeader w:val="true"/>
        </w:trPr>
        <w:tc>
          <w:tcPr>
            <w:tcW w:type="dxa" w:w="85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AUROC</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AUPRC</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Macro F1</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F1</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Fraud recall</w:t>
            </w:r>
          </w:p>
        </w:tc>
        <w:tc>
          <w:tcPr>
            <w:tcW w:type="dxa" w:w="1300"/>
            <w:tcMar>
              <w:top w:w="75" w:type="dxa"/>
              <w:start w:w="85" w:type="dxa"/>
              <w:bottom w:w="75" w:type="dxa"/>
              <w:end w:w="85" w:type="dxa"/>
            </w:tcMar>
            <w:shd w:fill="17365D"/>
            <w:vAlign w:val="center"/>
          </w:tcPr>
          <w:p>
            <w:pPr>
              <w:pStyle w:val="TableText"/>
              <w:jc w:val="center"/>
            </w:pPr>
            <w:r>
              <w:rPr>
                <w:rFonts w:ascii="Aptos" w:hAnsi="Aptos"/>
                <w:b/>
                <w:i w:val="0"/>
                <w:color w:val="FFFFFF"/>
                <w:sz w:val="15"/>
              </w:rPr>
              <w:t>G Mean</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0.8386 +/- 0.0056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0.5244 +/- 0.0106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0.6272 +/- 0.0459</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0.4516 +/- 0.0371</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0.8059 +/- 0.0481</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0.7466 +/- 0.0238</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0.8333 +/- 0.0029</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0.5110 +/- 0.0063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0.6395 +/- 0.0099</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0.4584 +/- 0.0089</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0.7843 +/- 0.0119</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0.7521 +/- 0.0044</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0.8149 +/- 0.0089</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0.4852 +/- 0.0091</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0.6224 +/- 0.0516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0.4397 +/- 0.0404</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0.7601 +/- 0.0615</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0.7291 +/- 0.0228</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0.7960 +/- 0.0023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0.4578 +/- 0.0027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0.6518 +/- 0.0437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0.4547 +/- 0.0342</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0.6598 +/- 0.0882</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0.7152 +/- 0.0021</w:t>
            </w:r>
          </w:p>
        </w:tc>
      </w:tr>
    </w:tbl>
    <w:p>
      <w:pPr>
        <w:spacing w:after="20"/>
      </w:pPr>
    </w:p>
    <w:p>
      <w:pPr>
        <w:spacing w:after="120"/>
      </w:pPr>
      <w:r>
        <w:rPr>
          <w:rFonts w:ascii="Aptos" w:hAnsi="Aptos"/>
          <w:b w:val="0"/>
          <w:i/>
          <w:color w:val="666666"/>
          <w:sz w:val="17"/>
        </w:rPr>
        <w:t>Values are arithmetic mean +/- sample standard deviation across training seeds 2, 42 and 72. n equals 3 for every ratio.</w:t>
      </w:r>
    </w:p>
    <w:p>
      <w:pPr>
        <w:spacing w:after="60"/>
        <w:jc w:val="center"/>
      </w:pPr>
      <w:r>
        <w:drawing>
          <wp:inline xmlns:a="http://schemas.openxmlformats.org/drawingml/2006/main" xmlns:pic="http://schemas.openxmlformats.org/drawingml/2006/picture">
            <wp:extent cx="6172200" cy="3011207"/>
            <wp:docPr id="1" name="Picture 1"/>
            <wp:cNvGraphicFramePr>
              <a:graphicFrameLocks noChangeAspect="1"/>
            </wp:cNvGraphicFramePr>
            <a:graphic>
              <a:graphicData uri="http://schemas.openxmlformats.org/drawingml/2006/picture">
                <pic:pic>
                  <pic:nvPicPr>
                    <pic:cNvPr id="0" name="pcgnn_performance_by_ratio.png"/>
                    <pic:cNvPicPr/>
                  </pic:nvPicPr>
                  <pic:blipFill>
                    <a:blip r:embed="rId13"/>
                    <a:stretch>
                      <a:fillRect/>
                    </a:stretch>
                  </pic:blipFill>
                  <pic:spPr>
                    <a:xfrm>
                      <a:off x="0" y="0"/>
                      <a:ext cx="6172200" cy="3011207"/>
                    </a:xfrm>
                    <a:prstGeom prst="rect"/>
                  </pic:spPr>
                </pic:pic>
              </a:graphicData>
            </a:graphic>
          </wp:inline>
        </w:drawing>
      </w:r>
    </w:p>
    <w:p>
      <w:pPr>
        <w:spacing w:after="120"/>
      </w:pPr>
      <w:r>
        <w:rPr>
          <w:rFonts w:ascii="Aptos" w:hAnsi="Aptos"/>
          <w:b w:val="0"/>
          <w:i/>
          <w:color w:val="666666"/>
          <w:sz w:val="17"/>
        </w:rPr>
        <w:t>Error bars show sample standard deviation across the three training seeds.</w:t>
      </w:r>
    </w:p>
    <w:p>
      <w:pPr>
        <w:pStyle w:val="Heading1"/>
      </w:pPr>
      <w:r>
        <w:t>8 Timing and resource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80"/>
        <w:gridCol w:w="600"/>
        <w:gridCol w:w="1250"/>
        <w:gridCol w:w="1300"/>
        <w:gridCol w:w="1450"/>
        <w:gridCol w:w="1200"/>
        <w:gridCol w:w="1250"/>
        <w:gridCol w:w="1520"/>
      </w:tblGrid>
      <w:tr>
        <w:trPr>
          <w:cantSplit/>
          <w:tblHeader w:val="true"/>
        </w:trPr>
        <w:tc>
          <w:tcPr>
            <w:tcW w:type="dxa" w:w="780"/>
            <w:tcMar>
              <w:top w:w="75" w:type="dxa"/>
              <w:start w:w="85" w:type="dxa"/>
              <w:bottom w:w="75" w:type="dxa"/>
              <w:end w:w="85" w:type="dxa"/>
            </w:tcMar>
            <w:shd w:fill="17365D"/>
            <w:vAlign w:val="center"/>
          </w:tcPr>
          <w:p>
            <w:pPr>
              <w:pStyle w:val="TableText"/>
              <w:jc w:val="center"/>
            </w:pPr>
            <w:r>
              <w:rPr>
                <w:rFonts w:ascii="Aptos" w:hAnsi="Aptos"/>
                <w:b/>
                <w:i w:val="0"/>
                <w:color w:val="FFFFFF"/>
                <w:sz w:val="15"/>
              </w:rPr>
              <w:t>Ratio</w:t>
            </w:r>
          </w:p>
        </w:tc>
        <w:tc>
          <w:tcPr>
            <w:tcW w:type="dxa" w:w="600"/>
            <w:tcMar>
              <w:top w:w="75" w:type="dxa"/>
              <w:start w:w="85" w:type="dxa"/>
              <w:bottom w:w="75" w:type="dxa"/>
              <w:end w:w="85" w:type="dxa"/>
            </w:tcMar>
            <w:shd w:fill="17365D"/>
            <w:vAlign w:val="center"/>
          </w:tcPr>
          <w:p>
            <w:pPr>
              <w:pStyle w:val="TableText"/>
              <w:jc w:val="center"/>
            </w:pPr>
            <w:r>
              <w:rPr>
                <w:rFonts w:ascii="Aptos" w:hAnsi="Aptos"/>
                <w:b/>
                <w:i w:val="0"/>
                <w:color w:val="FFFFFF"/>
                <w:sz w:val="15"/>
              </w:rPr>
              <w:t>Seed</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Mean epoch s</w:t>
            </w:r>
          </w:p>
        </w:tc>
        <w:tc>
          <w:tcPr>
            <w:tcW w:type="dxa" w:w="1300"/>
            <w:tcMar>
              <w:top w:w="75" w:type="dxa"/>
              <w:start w:w="85" w:type="dxa"/>
              <w:bottom w:w="75" w:type="dxa"/>
              <w:end w:w="85" w:type="dxa"/>
            </w:tcMar>
            <w:shd w:fill="17365D"/>
            <w:vAlign w:val="center"/>
          </w:tcPr>
          <w:p>
            <w:pPr>
              <w:pStyle w:val="TableText"/>
              <w:jc w:val="center"/>
            </w:pPr>
            <w:r>
              <w:rPr>
                <w:rFonts w:ascii="Aptos" w:hAnsi="Aptos"/>
                <w:b/>
                <w:i w:val="0"/>
                <w:color w:val="FFFFFF"/>
                <w:sz w:val="15"/>
              </w:rPr>
              <w:t>Median epoch s</w:t>
            </w:r>
          </w:p>
        </w:tc>
        <w:tc>
          <w:tcPr>
            <w:tcW w:type="dxa" w:w="1450"/>
            <w:tcMar>
              <w:top w:w="75" w:type="dxa"/>
              <w:start w:w="85" w:type="dxa"/>
              <w:bottom w:w="75" w:type="dxa"/>
              <w:end w:w="85" w:type="dxa"/>
            </w:tcMar>
            <w:shd w:fill="17365D"/>
            <w:vAlign w:val="center"/>
          </w:tcPr>
          <w:p>
            <w:pPr>
              <w:pStyle w:val="TableText"/>
              <w:jc w:val="center"/>
            </w:pPr>
            <w:r>
              <w:rPr>
                <w:rFonts w:ascii="Aptos" w:hAnsi="Aptos"/>
                <w:b/>
                <w:i w:val="0"/>
                <w:color w:val="FFFFFF"/>
                <w:sz w:val="15"/>
              </w:rPr>
              <w:t>Within run SD s</w:t>
            </w:r>
          </w:p>
        </w:tc>
        <w:tc>
          <w:tcPr>
            <w:tcW w:type="dxa" w:w="1200"/>
            <w:tcMar>
              <w:top w:w="75" w:type="dxa"/>
              <w:start w:w="85" w:type="dxa"/>
              <w:bottom w:w="75" w:type="dxa"/>
              <w:end w:w="85" w:type="dxa"/>
            </w:tcMar>
            <w:shd w:fill="17365D"/>
            <w:vAlign w:val="center"/>
          </w:tcPr>
          <w:p>
            <w:pPr>
              <w:pStyle w:val="TableText"/>
              <w:jc w:val="center"/>
            </w:pPr>
            <w:r>
              <w:rPr>
                <w:rFonts w:ascii="Aptos" w:hAnsi="Aptos"/>
                <w:b/>
                <w:i w:val="0"/>
                <w:color w:val="FFFFFF"/>
                <w:sz w:val="15"/>
              </w:rPr>
              <w:t>Fit wall s</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5"/>
              </w:rPr>
              <w:t>Inference s</w:t>
            </w:r>
          </w:p>
        </w:tc>
        <w:tc>
          <w:tcPr>
            <w:tcW w:type="dxa" w:w="1520"/>
            <w:tcMar>
              <w:top w:w="75" w:type="dxa"/>
              <w:start w:w="85" w:type="dxa"/>
              <w:bottom w:w="75" w:type="dxa"/>
              <w:end w:w="85" w:type="dxa"/>
            </w:tcMar>
            <w:shd w:fill="17365D"/>
            <w:vAlign w:val="center"/>
          </w:tcPr>
          <w:p>
            <w:pPr>
              <w:pStyle w:val="TableText"/>
              <w:jc w:val="center"/>
            </w:pPr>
            <w:r>
              <w:rPr>
                <w:rFonts w:ascii="Aptos" w:hAnsi="Aptos"/>
                <w:b/>
                <w:i w:val="0"/>
                <w:color w:val="FFFFFF"/>
                <w:sz w:val="15"/>
              </w:rPr>
              <w:t>Peak MB</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12.823</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12.827</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0.426</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1524.2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23.82</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269.1</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12.428</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12.433</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0.499</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1479.6</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24.22</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270.3</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TR40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12.437</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12.436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0.316</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1478.0</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22.67</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269.2</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9.282</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9.217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0.277</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1171.1</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22.86</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265.0</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9.075</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9.036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0.374</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1146.2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22.23</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269.0</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TR30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8.856</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8.722</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0.249</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1118.9</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22.89</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265.0</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5.686</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5.579</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0.255</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799.9</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22.73</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261.9</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5.512</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5.425</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0.214</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775.5</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21.90</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257.9</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TR20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5.735</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5.642</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0.240</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808.0</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23.08</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258.7</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2.859</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2.791</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0.190</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523.8</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23.82</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256.7</w:t>
            </w:r>
          </w:p>
        </w:tc>
      </w:tr>
      <w:tr>
        <w:trPr>
          <w:cantSplit/>
        </w:trPr>
        <w:tc>
          <w:tcPr>
            <w:tcW w:type="dxa" w:w="780"/>
            <w:tcMar>
              <w:top w:w="70" w:type="dxa"/>
              <w:start w:w="85" w:type="dxa"/>
              <w:bottom w:w="70" w:type="dxa"/>
              <w:end w:w="85" w:type="dxa"/>
            </w:tcMar>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vAlign w:val="center"/>
          </w:tcPr>
          <w:p>
            <w:pPr>
              <w:pStyle w:val="TableText"/>
              <w:jc w:val="center"/>
            </w:pPr>
            <w:r>
              <w:rPr>
                <w:rFonts w:ascii="Aptos" w:hAnsi="Aptos"/>
                <w:b w:val="0"/>
                <w:i w:val="0"/>
                <w:color w:val="000000"/>
                <w:sz w:val="15"/>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2.652</w:t>
            </w:r>
          </w:p>
        </w:tc>
        <w:tc>
          <w:tcPr>
            <w:tcW w:type="dxa" w:w="1300"/>
            <w:tcMar>
              <w:top w:w="70" w:type="dxa"/>
              <w:start w:w="85" w:type="dxa"/>
              <w:bottom w:w="70" w:type="dxa"/>
              <w:end w:w="85" w:type="dxa"/>
            </w:tcMar>
            <w:vAlign w:val="center"/>
          </w:tcPr>
          <w:p>
            <w:pPr>
              <w:pStyle w:val="TableText"/>
              <w:jc w:val="center"/>
            </w:pPr>
            <w:r>
              <w:rPr>
                <w:rFonts w:ascii="Aptos" w:hAnsi="Aptos"/>
                <w:b w:val="0"/>
                <w:i w:val="0"/>
                <w:color w:val="000000"/>
                <w:sz w:val="15"/>
              </w:rPr>
              <w:t>2.586</w:t>
            </w:r>
          </w:p>
        </w:tc>
        <w:tc>
          <w:tcPr>
            <w:tcW w:type="dxa" w:w="1450"/>
            <w:tcMar>
              <w:top w:w="70" w:type="dxa"/>
              <w:start w:w="85" w:type="dxa"/>
              <w:bottom w:w="70" w:type="dxa"/>
              <w:end w:w="85" w:type="dxa"/>
            </w:tcMar>
            <w:vAlign w:val="center"/>
          </w:tcPr>
          <w:p>
            <w:pPr>
              <w:pStyle w:val="TableText"/>
              <w:jc w:val="center"/>
            </w:pPr>
            <w:r>
              <w:rPr>
                <w:rFonts w:ascii="Aptos" w:hAnsi="Aptos"/>
                <w:b w:val="0"/>
                <w:i w:val="0"/>
                <w:color w:val="000000"/>
                <w:sz w:val="15"/>
              </w:rPr>
              <w:t>0.182</w:t>
            </w:r>
          </w:p>
        </w:tc>
        <w:tc>
          <w:tcPr>
            <w:tcW w:type="dxa" w:w="1200"/>
            <w:tcMar>
              <w:top w:w="70" w:type="dxa"/>
              <w:start w:w="85" w:type="dxa"/>
              <w:bottom w:w="70" w:type="dxa"/>
              <w:end w:w="85" w:type="dxa"/>
            </w:tcMar>
            <w:vAlign w:val="center"/>
          </w:tcPr>
          <w:p>
            <w:pPr>
              <w:pStyle w:val="TableText"/>
              <w:jc w:val="center"/>
            </w:pPr>
            <w:r>
              <w:rPr>
                <w:rFonts w:ascii="Aptos" w:hAnsi="Aptos"/>
                <w:b w:val="0"/>
                <w:i w:val="0"/>
                <w:color w:val="000000"/>
                <w:sz w:val="15"/>
              </w:rPr>
              <w:t>484.8</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5"/>
              </w:rPr>
              <w:t>21.98</w:t>
            </w:r>
          </w:p>
        </w:tc>
        <w:tc>
          <w:tcPr>
            <w:tcW w:type="dxa" w:w="1520"/>
            <w:tcMar>
              <w:top w:w="70" w:type="dxa"/>
              <w:start w:w="85" w:type="dxa"/>
              <w:bottom w:w="70" w:type="dxa"/>
              <w:end w:w="85" w:type="dxa"/>
            </w:tcMar>
            <w:vAlign w:val="center"/>
          </w:tcPr>
          <w:p>
            <w:pPr>
              <w:pStyle w:val="TableText"/>
              <w:jc w:val="center"/>
            </w:pPr>
            <w:r>
              <w:rPr>
                <w:rFonts w:ascii="Aptos" w:hAnsi="Aptos"/>
                <w:b w:val="0"/>
                <w:i w:val="0"/>
                <w:color w:val="000000"/>
                <w:sz w:val="15"/>
              </w:rPr>
              <w:t>252.7</w:t>
            </w:r>
          </w:p>
        </w:tc>
      </w:tr>
      <w:tr>
        <w:trPr>
          <w:cantSplit/>
        </w:trPr>
        <w:tc>
          <w:tcPr>
            <w:tcW w:type="dxa" w:w="78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TR10</w:t>
            </w:r>
          </w:p>
        </w:tc>
        <w:tc>
          <w:tcPr>
            <w:tcW w:type="dxa" w:w="6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2.752</w:t>
            </w:r>
          </w:p>
        </w:tc>
        <w:tc>
          <w:tcPr>
            <w:tcW w:type="dxa" w:w="13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2.687</w:t>
            </w:r>
          </w:p>
        </w:tc>
        <w:tc>
          <w:tcPr>
            <w:tcW w:type="dxa" w:w="14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0.177</w:t>
            </w:r>
          </w:p>
        </w:tc>
        <w:tc>
          <w:tcPr>
            <w:tcW w:type="dxa" w:w="120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504.7</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22.84</w:t>
            </w:r>
          </w:p>
        </w:tc>
        <w:tc>
          <w:tcPr>
            <w:tcW w:type="dxa" w:w="1520"/>
            <w:tcMar>
              <w:top w:w="70" w:type="dxa"/>
              <w:start w:w="85" w:type="dxa"/>
              <w:bottom w:w="70" w:type="dxa"/>
              <w:end w:w="85" w:type="dxa"/>
            </w:tcMar>
            <w:shd w:fill="F5F8FC"/>
            <w:vAlign w:val="center"/>
          </w:tcPr>
          <w:p>
            <w:pPr>
              <w:pStyle w:val="TableText"/>
              <w:jc w:val="center"/>
            </w:pPr>
            <w:r>
              <w:rPr>
                <w:rFonts w:ascii="Aptos" w:hAnsi="Aptos"/>
                <w:b w:val="0"/>
                <w:i w:val="0"/>
                <w:color w:val="000000"/>
                <w:sz w:val="15"/>
              </w:rPr>
              <w:t>252.8</w:t>
            </w:r>
          </w:p>
        </w:tc>
      </w:tr>
    </w:tbl>
    <w:p>
      <w:pPr>
        <w:spacing w:after="20"/>
      </w:pP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2100"/>
        <w:gridCol w:w="2100"/>
        <w:gridCol w:w="1900"/>
        <w:gridCol w:w="2250"/>
      </w:tblGrid>
      <w:tr>
        <w:trPr>
          <w:cantSplit/>
          <w:tblHeader w:val="true"/>
        </w:trPr>
        <w:tc>
          <w:tcPr>
            <w:tcW w:type="dxa" w:w="110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 seconds</w:t>
            </w:r>
          </w:p>
        </w:tc>
        <w:tc>
          <w:tcPr>
            <w:tcW w:type="dxa" w:w="2100"/>
            <w:tcMar>
              <w:top w:w="75" w:type="dxa"/>
              <w:start w:w="85" w:type="dxa"/>
              <w:bottom w:w="75" w:type="dxa"/>
              <w:end w:w="85" w:type="dxa"/>
            </w:tcMar>
            <w:shd w:fill="17365D"/>
            <w:vAlign w:val="center"/>
          </w:tcPr>
          <w:p>
            <w:pPr>
              <w:pStyle w:val="TableText"/>
              <w:jc w:val="center"/>
            </w:pPr>
            <w:r>
              <w:rPr>
                <w:rFonts w:ascii="Aptos" w:hAnsi="Aptos"/>
                <w:b/>
                <w:i w:val="0"/>
                <w:color w:val="FFFFFF"/>
                <w:sz w:val="16"/>
              </w:rPr>
              <w:t>Fit wall seconds</w:t>
            </w:r>
          </w:p>
        </w:tc>
        <w:tc>
          <w:tcPr>
            <w:tcW w:type="dxa" w:w="1900"/>
            <w:tcMar>
              <w:top w:w="75" w:type="dxa"/>
              <w:start w:w="85" w:type="dxa"/>
              <w:bottom w:w="75" w:type="dxa"/>
              <w:end w:w="85" w:type="dxa"/>
            </w:tcMar>
            <w:shd w:fill="17365D"/>
            <w:vAlign w:val="center"/>
          </w:tcPr>
          <w:p>
            <w:pPr>
              <w:pStyle w:val="TableText"/>
              <w:jc w:val="center"/>
            </w:pPr>
            <w:r>
              <w:rPr>
                <w:rFonts w:ascii="Aptos" w:hAnsi="Aptos"/>
                <w:b/>
                <w:i w:val="0"/>
                <w:color w:val="FFFFFF"/>
                <w:sz w:val="16"/>
              </w:rPr>
              <w:t>Inference seconds</w:t>
            </w:r>
          </w:p>
        </w:tc>
        <w:tc>
          <w:tcPr>
            <w:tcW w:type="dxa" w:w="2250"/>
            <w:tcMar>
              <w:top w:w="75" w:type="dxa"/>
              <w:start w:w="85" w:type="dxa"/>
              <w:bottom w:w="75" w:type="dxa"/>
              <w:end w:w="85" w:type="dxa"/>
            </w:tcMar>
            <w:shd w:fill="17365D"/>
            <w:vAlign w:val="center"/>
          </w:tcPr>
          <w:p>
            <w:pPr>
              <w:pStyle w:val="TableText"/>
              <w:jc w:val="center"/>
            </w:pPr>
            <w:r>
              <w:rPr>
                <w:rFonts w:ascii="Aptos" w:hAnsi="Aptos"/>
                <w:b/>
                <w:i w:val="0"/>
                <w:color w:val="FFFFFF"/>
                <w:sz w:val="16"/>
              </w:rPr>
              <w:t>Peak GPU memory MB</w:t>
            </w:r>
          </w:p>
        </w:tc>
      </w:tr>
      <w:tr>
        <w:trPr>
          <w:cantSplit/>
        </w:trPr>
        <w:tc>
          <w:tcPr>
            <w:tcW w:type="dxa" w:w="110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12.563 +/- 0.225</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1493.9 +/- 26.2</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23.57 +/- 0.81</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269.5 +/- 0.6</w:t>
            </w:r>
          </w:p>
        </w:tc>
      </w:tr>
      <w:tr>
        <w:trPr>
          <w:cantSplit/>
        </w:trPr>
        <w:tc>
          <w:tcPr>
            <w:tcW w:type="dxa" w:w="1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9.071 +/- 0.213</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1145.4 +/- 26.1</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22.66 +/- 0.37</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266.3 +/- 2.3</w:t>
            </w:r>
          </w:p>
        </w:tc>
      </w:tr>
      <w:tr>
        <w:trPr>
          <w:cantSplit/>
        </w:trPr>
        <w:tc>
          <w:tcPr>
            <w:tcW w:type="dxa" w:w="110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5.644 +/- 0.117</w:t>
            </w:r>
          </w:p>
        </w:tc>
        <w:tc>
          <w:tcPr>
            <w:tcW w:type="dxa" w:w="2100"/>
            <w:tcMar>
              <w:top w:w="70" w:type="dxa"/>
              <w:start w:w="85" w:type="dxa"/>
              <w:bottom w:w="70" w:type="dxa"/>
              <w:end w:w="85" w:type="dxa"/>
            </w:tcMar>
            <w:vAlign w:val="center"/>
          </w:tcPr>
          <w:p>
            <w:pPr>
              <w:pStyle w:val="TableText"/>
              <w:jc w:val="center"/>
            </w:pPr>
            <w:r>
              <w:rPr>
                <w:rFonts w:ascii="Aptos" w:hAnsi="Aptos"/>
                <w:b w:val="0"/>
                <w:i w:val="0"/>
                <w:color w:val="000000"/>
                <w:sz w:val="16"/>
              </w:rPr>
              <w:t>794.5 +/- 17.0</w:t>
            </w:r>
          </w:p>
        </w:tc>
        <w:tc>
          <w:tcPr>
            <w:tcW w:type="dxa" w:w="1900"/>
            <w:tcMar>
              <w:top w:w="70" w:type="dxa"/>
              <w:start w:w="85" w:type="dxa"/>
              <w:bottom w:w="70" w:type="dxa"/>
              <w:end w:w="85" w:type="dxa"/>
            </w:tcMar>
            <w:vAlign w:val="center"/>
          </w:tcPr>
          <w:p>
            <w:pPr>
              <w:pStyle w:val="TableText"/>
              <w:jc w:val="center"/>
            </w:pPr>
            <w:r>
              <w:rPr>
                <w:rFonts w:ascii="Aptos" w:hAnsi="Aptos"/>
                <w:b w:val="0"/>
                <w:i w:val="0"/>
                <w:color w:val="000000"/>
                <w:sz w:val="16"/>
              </w:rPr>
              <w:t>22.57 +/- 0.61</w:t>
            </w:r>
          </w:p>
        </w:tc>
        <w:tc>
          <w:tcPr>
            <w:tcW w:type="dxa" w:w="2250"/>
            <w:tcMar>
              <w:top w:w="70" w:type="dxa"/>
              <w:start w:w="85" w:type="dxa"/>
              <w:bottom w:w="70" w:type="dxa"/>
              <w:end w:w="85" w:type="dxa"/>
            </w:tcMar>
            <w:vAlign w:val="center"/>
          </w:tcPr>
          <w:p>
            <w:pPr>
              <w:pStyle w:val="TableText"/>
              <w:jc w:val="center"/>
            </w:pPr>
            <w:r>
              <w:rPr>
                <w:rFonts w:ascii="Aptos" w:hAnsi="Aptos"/>
                <w:b w:val="0"/>
                <w:i w:val="0"/>
                <w:color w:val="000000"/>
                <w:sz w:val="16"/>
              </w:rPr>
              <w:t>259.5 +/- 2.1</w:t>
            </w:r>
          </w:p>
        </w:tc>
      </w:tr>
      <w:tr>
        <w:trPr>
          <w:cantSplit/>
        </w:trPr>
        <w:tc>
          <w:tcPr>
            <w:tcW w:type="dxa" w:w="1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2.754 +/- 0.104</w:t>
            </w:r>
          </w:p>
        </w:tc>
        <w:tc>
          <w:tcPr>
            <w:tcW w:type="dxa" w:w="21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504.4 +/- 19.5</w:t>
            </w:r>
          </w:p>
        </w:tc>
        <w:tc>
          <w:tcPr>
            <w:tcW w:type="dxa" w:w="19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22.88 +/- 0.92</w:t>
            </w:r>
          </w:p>
        </w:tc>
        <w:tc>
          <w:tcPr>
            <w:tcW w:type="dxa" w:w="2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254.1 +/- 2.3</w:t>
            </w:r>
          </w:p>
        </w:tc>
      </w:tr>
    </w:tbl>
    <w:p>
      <w:pPr>
        <w:spacing w:after="20"/>
      </w:pPr>
    </w:p>
    <w:p>
      <w:pPr>
        <w:spacing w:after="60"/>
        <w:jc w:val="center"/>
      </w:pPr>
      <w:r>
        <w:drawing>
          <wp:inline xmlns:a="http://schemas.openxmlformats.org/drawingml/2006/main" xmlns:pic="http://schemas.openxmlformats.org/drawingml/2006/picture">
            <wp:extent cx="6172200" cy="2659986"/>
            <wp:docPr id="2" name="Picture 2"/>
            <wp:cNvGraphicFramePr>
              <a:graphicFrameLocks noChangeAspect="1"/>
            </wp:cNvGraphicFramePr>
            <a:graphic>
              <a:graphicData uri="http://schemas.openxmlformats.org/drawingml/2006/picture">
                <pic:pic>
                  <pic:nvPicPr>
                    <pic:cNvPr id="0" name="pcgnn_epoch_time_by_ratio.png"/>
                    <pic:cNvPicPr/>
                  </pic:nvPicPr>
                  <pic:blipFill>
                    <a:blip r:embed="rId14"/>
                    <a:stretch>
                      <a:fillRect/>
                    </a:stretch>
                  </pic:blipFill>
                  <pic:spPr>
                    <a:xfrm>
                      <a:off x="0" y="0"/>
                      <a:ext cx="6172200" cy="2659986"/>
                    </a:xfrm>
                    <a:prstGeom prst="rect"/>
                  </pic:spPr>
                </pic:pic>
              </a:graphicData>
            </a:graphic>
          </wp:inline>
        </w:drawing>
      </w:r>
    </w:p>
    <w:p>
      <w:pPr>
        <w:spacing w:after="120"/>
      </w:pPr>
      <w:r>
        <w:rPr>
          <w:rFonts w:ascii="Aptos" w:hAnsi="Aptos"/>
          <w:b w:val="0"/>
          <w:i/>
          <w:color w:val="666666"/>
          <w:sz w:val="17"/>
        </w:rPr>
        <w:t>Epoch times are GPU-synchronised training times. Fit wall time includes validation. Inference time is reported separately.</w:t>
      </w:r>
    </w:p>
    <w:p>
      <w:pPr>
        <w:pStyle w:val="Heading1"/>
      </w:pPr>
      <w:r>
        <w:t>9 Matched changes from TR40</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1950"/>
        <w:gridCol w:w="1950"/>
        <w:gridCol w:w="1950"/>
        <w:gridCol w:w="1800"/>
      </w:tblGrid>
      <w:tr>
        <w:trPr>
          <w:cantSplit/>
          <w:tblHeader w:val="true"/>
        </w:trPr>
        <w:tc>
          <w:tcPr>
            <w:tcW w:type="dxa" w:w="1700"/>
            <w:tcMar>
              <w:top w:w="75" w:type="dxa"/>
              <w:start w:w="85" w:type="dxa"/>
              <w:bottom w:w="75" w:type="dxa"/>
              <w:end w:w="85" w:type="dxa"/>
            </w:tcMar>
            <w:shd w:fill="17365D"/>
            <w:vAlign w:val="center"/>
          </w:tcPr>
          <w:p>
            <w:pPr>
              <w:pStyle w:val="TableText"/>
              <w:jc w:val="center"/>
            </w:pPr>
            <w:r>
              <w:rPr>
                <w:rFonts w:ascii="Aptos" w:hAnsi="Aptos"/>
                <w:b/>
                <w:i w:val="0"/>
                <w:color w:val="FFFFFF"/>
                <w:sz w:val="16"/>
              </w:rPr>
              <w:t>Comparison</w:t>
            </w:r>
          </w:p>
        </w:tc>
        <w:tc>
          <w:tcPr>
            <w:tcW w:type="dxa" w:w="1950"/>
            <w:tcMar>
              <w:top w:w="75" w:type="dxa"/>
              <w:start w:w="85" w:type="dxa"/>
              <w:bottom w:w="75" w:type="dxa"/>
              <w:end w:w="85" w:type="dxa"/>
            </w:tcMar>
            <w:shd w:fill="17365D"/>
            <w:vAlign w:val="center"/>
          </w:tcPr>
          <w:p>
            <w:pPr>
              <w:pStyle w:val="TableText"/>
              <w:jc w:val="center"/>
            </w:pPr>
            <w:r>
              <w:rPr>
                <w:rFonts w:ascii="Aptos" w:hAnsi="Aptos"/>
                <w:b/>
                <w:i w:val="0"/>
                <w:color w:val="FFFFFF"/>
                <w:sz w:val="16"/>
              </w:rPr>
              <w:t>AUROC delta</w:t>
            </w:r>
          </w:p>
        </w:tc>
        <w:tc>
          <w:tcPr>
            <w:tcW w:type="dxa" w:w="1950"/>
            <w:tcMar>
              <w:top w:w="75" w:type="dxa"/>
              <w:start w:w="85" w:type="dxa"/>
              <w:bottom w:w="75" w:type="dxa"/>
              <w:end w:w="85" w:type="dxa"/>
            </w:tcMar>
            <w:shd w:fill="17365D"/>
            <w:vAlign w:val="center"/>
          </w:tcPr>
          <w:p>
            <w:pPr>
              <w:pStyle w:val="TableText"/>
              <w:jc w:val="center"/>
            </w:pPr>
            <w:r>
              <w:rPr>
                <w:rFonts w:ascii="Aptos" w:hAnsi="Aptos"/>
                <w:b/>
                <w:i w:val="0"/>
                <w:color w:val="FFFFFF"/>
                <w:sz w:val="16"/>
              </w:rPr>
              <w:t>AUPRC delta</w:t>
            </w:r>
          </w:p>
        </w:tc>
        <w:tc>
          <w:tcPr>
            <w:tcW w:type="dxa" w:w="1950"/>
            <w:tcMar>
              <w:top w:w="75" w:type="dxa"/>
              <w:start w:w="85" w:type="dxa"/>
              <w:bottom w:w="75" w:type="dxa"/>
              <w:end w:w="85" w:type="dxa"/>
            </w:tcMar>
            <w:shd w:fill="17365D"/>
            <w:vAlign w:val="center"/>
          </w:tcPr>
          <w:p>
            <w:pPr>
              <w:pStyle w:val="TableText"/>
              <w:jc w:val="center"/>
            </w:pPr>
            <w:r>
              <w:rPr>
                <w:rFonts w:ascii="Aptos" w:hAnsi="Aptos"/>
                <w:b/>
                <w:i w:val="0"/>
                <w:color w:val="FFFFFF"/>
                <w:sz w:val="16"/>
              </w:rPr>
              <w:t>Fraud recall delta</w:t>
            </w:r>
          </w:p>
        </w:tc>
        <w:tc>
          <w:tcPr>
            <w:tcW w:type="dxa" w:w="18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 seconds delta</w:t>
            </w:r>
          </w:p>
        </w:tc>
      </w:tr>
      <w:tr>
        <w:trPr>
          <w:cantSplit/>
        </w:trPr>
        <w:tc>
          <w:tcPr>
            <w:tcW w:type="dxa" w:w="1700"/>
            <w:tcMar>
              <w:top w:w="70" w:type="dxa"/>
              <w:start w:w="85" w:type="dxa"/>
              <w:bottom w:w="70" w:type="dxa"/>
              <w:end w:w="85" w:type="dxa"/>
            </w:tcMar>
            <w:vAlign w:val="center"/>
          </w:tcPr>
          <w:p>
            <w:pPr>
              <w:pStyle w:val="TableText"/>
              <w:jc w:val="left"/>
            </w:pPr>
            <w:r>
              <w:rPr>
                <w:rFonts w:ascii="Aptos" w:hAnsi="Aptos"/>
                <w:b w:val="0"/>
                <w:i w:val="0"/>
                <w:color w:val="000000"/>
                <w:sz w:val="16"/>
              </w:rPr>
              <w:t>TR30 - TR40</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-0.0053 +/- 0.0081</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-0.0134 +/- 0.0156</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-0.0216 +/- 0.0523</w:t>
            </w:r>
          </w:p>
        </w:tc>
        <w:tc>
          <w:tcPr>
            <w:tcW w:type="dxa" w:w="1800"/>
            <w:tcMar>
              <w:top w:w="70" w:type="dxa"/>
              <w:start w:w="85" w:type="dxa"/>
              <w:bottom w:w="70" w:type="dxa"/>
              <w:end w:w="85" w:type="dxa"/>
            </w:tcMar>
            <w:vAlign w:val="center"/>
          </w:tcPr>
          <w:p>
            <w:pPr>
              <w:pStyle w:val="TableText"/>
              <w:jc w:val="center"/>
            </w:pPr>
            <w:r>
              <w:rPr>
                <w:rFonts w:ascii="Aptos" w:hAnsi="Aptos"/>
                <w:b w:val="0"/>
                <w:i w:val="0"/>
                <w:color w:val="000000"/>
                <w:sz w:val="16"/>
              </w:rPr>
              <w:t>-3.492 +/- 0.121</w:t>
            </w:r>
          </w:p>
        </w:tc>
      </w:tr>
      <w:tr>
        <w:trPr>
          <w:cantSplit/>
        </w:trPr>
        <w:tc>
          <w:tcPr>
            <w:tcW w:type="dxa" w:w="1700"/>
            <w:tcMar>
              <w:top w:w="70" w:type="dxa"/>
              <w:start w:w="85" w:type="dxa"/>
              <w:bottom w:w="70" w:type="dxa"/>
              <w:end w:w="85" w:type="dxa"/>
            </w:tcMar>
            <w:shd w:fill="F5F8FC"/>
            <w:vAlign w:val="center"/>
          </w:tcPr>
          <w:p>
            <w:pPr>
              <w:pStyle w:val="TableText"/>
              <w:jc w:val="left"/>
            </w:pPr>
            <w:r>
              <w:rPr>
                <w:rFonts w:ascii="Aptos" w:hAnsi="Aptos"/>
                <w:b w:val="0"/>
                <w:i w:val="0"/>
                <w:color w:val="000000"/>
                <w:sz w:val="16"/>
              </w:rPr>
              <w:t>TR20 - TR40</w:t>
            </w:r>
          </w:p>
        </w:tc>
        <w:tc>
          <w:tcPr>
            <w:tcW w:type="dxa" w:w="1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-0.0237 +/- 0.0070</w:t>
            </w:r>
          </w:p>
        </w:tc>
        <w:tc>
          <w:tcPr>
            <w:tcW w:type="dxa" w:w="1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-0.0392 +/- 0.0074</w:t>
            </w:r>
          </w:p>
        </w:tc>
        <w:tc>
          <w:tcPr>
            <w:tcW w:type="dxa" w:w="19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-0.0458 +/- 0.0992</w:t>
            </w:r>
          </w:p>
        </w:tc>
        <w:tc>
          <w:tcPr>
            <w:tcW w:type="dxa" w:w="18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-6.919 +/- 0.217</w:t>
            </w:r>
          </w:p>
        </w:tc>
      </w:tr>
      <w:tr>
        <w:trPr>
          <w:cantSplit/>
        </w:trPr>
        <w:tc>
          <w:tcPr>
            <w:tcW w:type="dxa" w:w="1700"/>
            <w:tcMar>
              <w:top w:w="70" w:type="dxa"/>
              <w:start w:w="85" w:type="dxa"/>
              <w:bottom w:w="70" w:type="dxa"/>
              <w:end w:w="85" w:type="dxa"/>
            </w:tcMar>
            <w:vAlign w:val="center"/>
          </w:tcPr>
          <w:p>
            <w:pPr>
              <w:pStyle w:val="TableText"/>
              <w:jc w:val="left"/>
            </w:pPr>
            <w:r>
              <w:rPr>
                <w:rFonts w:ascii="Aptos" w:hAnsi="Aptos"/>
                <w:b w:val="0"/>
                <w:i w:val="0"/>
                <w:color w:val="000000"/>
                <w:sz w:val="16"/>
              </w:rPr>
              <w:t>TR10 - TR40</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-0.0426 +/- 0.0056</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-0.0667 +/- 0.0107</w:t>
            </w:r>
          </w:p>
        </w:tc>
        <w:tc>
          <w:tcPr>
            <w:tcW w:type="dxa" w:w="1950"/>
            <w:tcMar>
              <w:top w:w="70" w:type="dxa"/>
              <w:start w:w="85" w:type="dxa"/>
              <w:bottom w:w="70" w:type="dxa"/>
              <w:end w:w="85" w:type="dxa"/>
            </w:tcMar>
            <w:vAlign w:val="center"/>
          </w:tcPr>
          <w:p>
            <w:pPr>
              <w:pStyle w:val="TableText"/>
              <w:jc w:val="center"/>
            </w:pPr>
            <w:r>
              <w:rPr>
                <w:rFonts w:ascii="Aptos" w:hAnsi="Aptos"/>
                <w:b w:val="0"/>
                <w:i w:val="0"/>
                <w:color w:val="000000"/>
                <w:sz w:val="16"/>
              </w:rPr>
              <w:t>-0.1461 +/- 0.1253</w:t>
            </w:r>
          </w:p>
        </w:tc>
        <w:tc>
          <w:tcPr>
            <w:tcW w:type="dxa" w:w="1800"/>
            <w:tcMar>
              <w:top w:w="70" w:type="dxa"/>
              <w:start w:w="85" w:type="dxa"/>
              <w:bottom w:w="70" w:type="dxa"/>
              <w:end w:w="85" w:type="dxa"/>
            </w:tcMar>
            <w:vAlign w:val="center"/>
          </w:tcPr>
          <w:p>
            <w:pPr>
              <w:pStyle w:val="TableText"/>
              <w:jc w:val="center"/>
            </w:pPr>
            <w:r>
              <w:rPr>
                <w:rFonts w:ascii="Aptos" w:hAnsi="Aptos"/>
                <w:b w:val="0"/>
                <w:i w:val="0"/>
                <w:color w:val="000000"/>
                <w:sz w:val="16"/>
              </w:rPr>
              <w:t>-9.809 +/- 0.142</w:t>
            </w:r>
          </w:p>
        </w:tc>
      </w:tr>
    </w:tbl>
    <w:p>
      <w:pPr>
        <w:spacing w:after="20"/>
      </w:pPr>
    </w:p>
    <w:p>
      <w:pPr>
        <w:spacing w:after="120"/>
      </w:pPr>
      <w:r>
        <w:rPr>
          <w:rFonts w:ascii="Aptos" w:hAnsi="Aptos"/>
          <w:b w:val="0"/>
          <w:i/>
          <w:color w:val="666666"/>
          <w:sz w:val="17"/>
        </w:rPr>
        <w:t>Each difference is calculated within the same training seed and then summarised across three seeds. No significance test is reported because n equals 3.</w:t>
      </w:r>
    </w:p>
    <w:p>
      <w:pPr>
        <w:pStyle w:val="Heading1"/>
      </w:pPr>
      <w:r>
        <w:t>10 Findings and interpretation</w:t>
      </w:r>
    </w:p>
    <w:p>
      <w:pPr>
        <w:spacing w:after="60"/>
        <w:ind w:left="346" w:hanging="202"/>
      </w:pPr>
      <w:r>
        <w:rPr>
          <w:rFonts w:ascii="Aptos" w:hAnsi="Aptos"/>
          <w:b w:val="0"/>
          <w:i w:val="0"/>
          <w:color w:val="000000"/>
          <w:sz w:val="21"/>
        </w:rPr>
        <w:t xml:space="preserve">• </w:t>
      </w:r>
      <w:r>
        <w:rPr>
          <w:rFonts w:ascii="Aptos" w:hAnsi="Aptos"/>
          <w:b w:val="0"/>
          <w:i w:val="0"/>
          <w:color w:val="000000"/>
          <w:sz w:val="21"/>
        </w:rPr>
        <w:t>Ranking performance weakened as labelled training data decreased. Mean AUROC and AUPRC declined monotonically from TR40 to TR10.</w:t>
      </w:r>
    </w:p>
    <w:p>
      <w:pPr>
        <w:spacing w:after="60"/>
        <w:ind w:left="346" w:hanging="202"/>
      </w:pPr>
      <w:r>
        <w:rPr>
          <w:rFonts w:ascii="Aptos" w:hAnsi="Aptos"/>
          <w:b w:val="0"/>
          <w:i w:val="0"/>
          <w:color w:val="000000"/>
          <w:sz w:val="21"/>
        </w:rPr>
        <w:t xml:space="preserve">• </w:t>
      </w:r>
      <w:r>
        <w:rPr>
          <w:rFonts w:ascii="Aptos" w:hAnsi="Aptos"/>
          <w:b w:val="0"/>
          <w:i w:val="0"/>
          <w:color w:val="000000"/>
          <w:sz w:val="21"/>
        </w:rPr>
        <w:t>TR30 remained closest to TR40: the paired AUROC change was -0.0053 +/- 0.0081 and the AUPRC change was -0.0134 +/- 0.0156.</w:t>
      </w:r>
    </w:p>
    <w:p>
      <w:pPr>
        <w:spacing w:after="60"/>
        <w:ind w:left="346" w:hanging="202"/>
      </w:pPr>
      <w:r>
        <w:rPr>
          <w:rFonts w:ascii="Aptos" w:hAnsi="Aptos"/>
          <w:b w:val="0"/>
          <w:i w:val="0"/>
          <w:color w:val="000000"/>
          <w:sz w:val="21"/>
        </w:rPr>
        <w:t xml:space="preserve">• </w:t>
      </w:r>
      <w:r>
        <w:rPr>
          <w:rFonts w:ascii="Aptos" w:hAnsi="Aptos"/>
          <w:b w:val="0"/>
          <w:i w:val="0"/>
          <w:color w:val="000000"/>
          <w:sz w:val="21"/>
        </w:rPr>
        <w:t>TR20 showed a clearer loss: mean AUROC was 0.8149 and mean AUPRC was 0.4852, with paired changes of -0.0237 and -0.0392 from TR40.</w:t>
      </w:r>
    </w:p>
    <w:p>
      <w:pPr>
        <w:spacing w:after="60"/>
        <w:ind w:left="346" w:hanging="202"/>
      </w:pPr>
      <w:r>
        <w:rPr>
          <w:rFonts w:ascii="Aptos" w:hAnsi="Aptos"/>
          <w:b w:val="0"/>
          <w:i w:val="0"/>
          <w:color w:val="000000"/>
          <w:sz w:val="21"/>
        </w:rPr>
        <w:t xml:space="preserve">• </w:t>
      </w:r>
      <w:r>
        <w:rPr>
          <w:rFonts w:ascii="Aptos" w:hAnsi="Aptos"/>
          <w:b w:val="0"/>
          <w:i w:val="0"/>
          <w:color w:val="000000"/>
          <w:sz w:val="21"/>
        </w:rPr>
        <w:t>TR10 produced mean AUROC 0.7960 and mean AUPRC 0.4578. Compared with TR40, the paired changes were -0.0426 and -0.0667.</w:t>
      </w:r>
    </w:p>
    <w:p>
      <w:pPr>
        <w:spacing w:after="60"/>
        <w:ind w:left="346" w:hanging="202"/>
      </w:pPr>
      <w:r>
        <w:rPr>
          <w:rFonts w:ascii="Aptos" w:hAnsi="Aptos"/>
          <w:b w:val="0"/>
          <w:i w:val="0"/>
          <w:color w:val="000000"/>
          <w:sz w:val="21"/>
        </w:rPr>
        <w:t xml:space="preserve">• </w:t>
      </w:r>
      <w:r>
        <w:rPr>
          <w:rFonts w:ascii="Aptos" w:hAnsi="Aptos"/>
          <w:b w:val="0"/>
          <w:i w:val="0"/>
          <w:color w:val="000000"/>
          <w:sz w:val="21"/>
        </w:rPr>
        <w:t>Training cost responded strongly to the smaller labelled set. Mean epoch time was 27.8 percent lower at TR30, 55.1 percent lower at TR20 and 78.1 percent lower at TR10 relative to TR40.</w:t>
      </w:r>
    </w:p>
    <w:p>
      <w:pPr>
        <w:spacing w:after="60"/>
        <w:ind w:left="346" w:hanging="202"/>
      </w:pPr>
      <w:r>
        <w:rPr>
          <w:rFonts w:ascii="Aptos" w:hAnsi="Aptos"/>
          <w:b w:val="0"/>
          <w:i w:val="0"/>
          <w:color w:val="000000"/>
          <w:sz w:val="21"/>
        </w:rPr>
        <w:t xml:space="preserve">• </w:t>
      </w:r>
      <w:r>
        <w:rPr>
          <w:rFonts w:ascii="Aptos" w:hAnsi="Aptos"/>
          <w:b w:val="0"/>
          <w:i w:val="0"/>
          <w:color w:val="000000"/>
          <w:sz w:val="21"/>
        </w:rPr>
        <w:t>Macro F1 and fraud F1 were not monotonic and had larger seed variation. This reflects a changing precision-recall operating point at the fixed 0.5 threshold; it does not overturn the AUROC/AUPRC scarcity trend.</w:t>
      </w:r>
    </w:p>
    <w:p>
      <w:pPr>
        <w:spacing w:after="60"/>
        <w:ind w:left="346" w:hanging="202"/>
      </w:pPr>
      <w:r>
        <w:rPr>
          <w:rFonts w:ascii="Aptos" w:hAnsi="Aptos"/>
          <w:b w:val="0"/>
          <w:i w:val="0"/>
          <w:color w:val="000000"/>
          <w:sz w:val="21"/>
        </w:rPr>
        <w:t xml:space="preserve">• </w:t>
      </w:r>
      <w:r>
        <w:rPr>
          <w:rFonts w:ascii="Aptos" w:hAnsi="Aptos"/>
          <w:b w:val="0"/>
          <w:i w:val="0"/>
          <w:color w:val="000000"/>
          <w:sz w:val="21"/>
        </w:rPr>
        <w:t>Inference time stayed near 22 to 24 seconds because the test graph and test node set were fixed; reducing training labels mainly reduced training cost.</w:t>
      </w:r>
    </w:p>
    <w:p>
      <w:pPr>
        <w:pStyle w:val="Heading1"/>
      </w:pPr>
      <w:r>
        <w:t>11 Per epoch evidence coverage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650"/>
        <w:gridCol w:w="1250"/>
        <w:gridCol w:w="1350"/>
        <w:gridCol w:w="1500"/>
        <w:gridCol w:w="1550"/>
        <w:gridCol w:w="2200"/>
      </w:tblGrid>
      <w:tr>
        <w:trPr>
          <w:cantSplit/>
          <w:tblHeader w:val="true"/>
        </w:trPr>
        <w:tc>
          <w:tcPr>
            <w:tcW w:type="dxa" w:w="850"/>
            <w:tcMar>
              <w:top w:w="75" w:type="dxa"/>
              <w:start w:w="85" w:type="dxa"/>
              <w:bottom w:w="75" w:type="dxa"/>
              <w:end w:w="85" w:type="dxa"/>
            </w:tcMar>
            <w:shd w:fill="17365D"/>
            <w:vAlign w:val="center"/>
          </w:tcPr>
          <w:p>
            <w:pPr>
              <w:pStyle w:val="TableText"/>
              <w:jc w:val="center"/>
            </w:pPr>
            <w:r>
              <w:rPr>
                <w:rFonts w:ascii="Aptos" w:hAnsi="Aptos"/>
                <w:b/>
                <w:i w:val="0"/>
                <w:color w:val="FFFFFF"/>
                <w:sz w:val="16"/>
              </w:rPr>
              <w:t>Ratio</w:t>
            </w:r>
          </w:p>
        </w:tc>
        <w:tc>
          <w:tcPr>
            <w:tcW w:type="dxa" w:w="650"/>
            <w:tcMar>
              <w:top w:w="75" w:type="dxa"/>
              <w:start w:w="85" w:type="dxa"/>
              <w:bottom w:w="75" w:type="dxa"/>
              <w:end w:w="85" w:type="dxa"/>
            </w:tcMar>
            <w:shd w:fill="17365D"/>
            <w:vAlign w:val="center"/>
          </w:tcPr>
          <w:p>
            <w:pPr>
              <w:pStyle w:val="TableText"/>
              <w:jc w:val="center"/>
            </w:pPr>
            <w:r>
              <w:rPr>
                <w:rFonts w:ascii="Aptos" w:hAnsi="Aptos"/>
                <w:b/>
                <w:i w:val="0"/>
                <w:color w:val="FFFFFF"/>
                <w:sz w:val="16"/>
              </w:rPr>
              <w:t>Seed</w:t>
            </w:r>
          </w:p>
        </w:tc>
        <w:tc>
          <w:tcPr>
            <w:tcW w:type="dxa" w:w="1250"/>
            <w:tcMar>
              <w:top w:w="75" w:type="dxa"/>
              <w:start w:w="85" w:type="dxa"/>
              <w:bottom w:w="75" w:type="dxa"/>
              <w:end w:w="85" w:type="dxa"/>
            </w:tcMar>
            <w:shd w:fill="17365D"/>
            <w:vAlign w:val="center"/>
          </w:tcPr>
          <w:p>
            <w:pPr>
              <w:pStyle w:val="TableText"/>
              <w:jc w:val="center"/>
            </w:pPr>
            <w:r>
              <w:rPr>
                <w:rFonts w:ascii="Aptos" w:hAnsi="Aptos"/>
                <w:b/>
                <w:i w:val="0"/>
                <w:color w:val="FFFFFF"/>
                <w:sz w:val="16"/>
              </w:rPr>
              <w:t>Epoch rows</w:t>
            </w:r>
          </w:p>
        </w:tc>
        <w:tc>
          <w:tcPr>
            <w:tcW w:type="dxa" w:w="1350"/>
            <w:tcMar>
              <w:top w:w="75" w:type="dxa"/>
              <w:start w:w="85" w:type="dxa"/>
              <w:bottom w:w="75" w:type="dxa"/>
              <w:end w:w="85" w:type="dxa"/>
            </w:tcMar>
            <w:shd w:fill="17365D"/>
            <w:vAlign w:val="center"/>
          </w:tcPr>
          <w:p>
            <w:pPr>
              <w:pStyle w:val="TableText"/>
              <w:jc w:val="center"/>
            </w:pPr>
            <w:r>
              <w:rPr>
                <w:rFonts w:ascii="Aptos" w:hAnsi="Aptos"/>
                <w:b/>
                <w:i w:val="0"/>
                <w:color w:val="FFFFFF"/>
                <w:sz w:val="16"/>
              </w:rPr>
              <w:t>Validation rows</w:t>
            </w:r>
          </w:p>
        </w:tc>
        <w:tc>
          <w:tcPr>
            <w:tcW w:type="dxa" w:w="1500"/>
            <w:tcMar>
              <w:top w:w="75" w:type="dxa"/>
              <w:start w:w="85" w:type="dxa"/>
              <w:bottom w:w="75" w:type="dxa"/>
              <w:end w:w="85" w:type="dxa"/>
            </w:tcMar>
            <w:shd w:fill="17365D"/>
            <w:vAlign w:val="center"/>
          </w:tcPr>
          <w:p>
            <w:pPr>
              <w:pStyle w:val="TableText"/>
              <w:jc w:val="center"/>
            </w:pPr>
            <w:r>
              <w:rPr>
                <w:rFonts w:ascii="Aptos" w:hAnsi="Aptos"/>
                <w:b/>
                <w:i w:val="0"/>
                <w:color w:val="FFFFFF"/>
                <w:sz w:val="16"/>
              </w:rPr>
              <w:t>Mean epoch s</w:t>
            </w:r>
          </w:p>
        </w:tc>
        <w:tc>
          <w:tcPr>
            <w:tcW w:type="dxa" w:w="1550"/>
            <w:tcMar>
              <w:top w:w="75" w:type="dxa"/>
              <w:start w:w="85" w:type="dxa"/>
              <w:bottom w:w="75" w:type="dxa"/>
              <w:end w:w="85" w:type="dxa"/>
            </w:tcMar>
            <w:shd w:fill="17365D"/>
            <w:vAlign w:val="center"/>
          </w:tcPr>
          <w:p>
            <w:pPr>
              <w:pStyle w:val="TableText"/>
              <w:jc w:val="center"/>
            </w:pPr>
            <w:r>
              <w:rPr>
                <w:rFonts w:ascii="Aptos" w:hAnsi="Aptos"/>
                <w:b/>
                <w:i w:val="0"/>
                <w:color w:val="FFFFFF"/>
                <w:sz w:val="16"/>
              </w:rPr>
              <w:t>Within run SD s</w:t>
            </w:r>
          </w:p>
        </w:tc>
        <w:tc>
          <w:tcPr>
            <w:tcW w:type="dxa" w:w="2200"/>
            <w:tcMar>
              <w:top w:w="75" w:type="dxa"/>
              <w:start w:w="85" w:type="dxa"/>
              <w:bottom w:w="75" w:type="dxa"/>
              <w:end w:w="85" w:type="dxa"/>
            </w:tcMar>
            <w:shd w:fill="17365D"/>
            <w:vAlign w:val="center"/>
          </w:tcPr>
          <w:p>
            <w:pPr>
              <w:pStyle w:val="TableText"/>
              <w:jc w:val="center"/>
            </w:pPr>
            <w:r>
              <w:rPr>
                <w:rFonts w:ascii="Aptos" w:hAnsi="Aptos"/>
                <w:b/>
                <w:i w:val="0"/>
                <w:color w:val="FFFFFF"/>
                <w:sz w:val="16"/>
              </w:rPr>
              <w:t>Best epoch</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12.823</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0.426</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TR40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12.428</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0.499</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TR40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12.437</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0.316</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9.282</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0.277</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TR30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9.075</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0.374</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TR30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8.856</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0.249</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5.686</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0.255</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TR20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42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5.512</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0.214</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TR20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72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5.735</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0.240</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2.859</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0.190</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w:t>
            </w:r>
          </w:p>
        </w:tc>
      </w:tr>
      <w:tr>
        <w:trPr>
          <w:cantSplit/>
        </w:trPr>
        <w:tc>
          <w:tcPr>
            <w:tcW w:type="dxa" w:w="850"/>
            <w:tcMar>
              <w:top w:w="70" w:type="dxa"/>
              <w:start w:w="85" w:type="dxa"/>
              <w:bottom w:w="70" w:type="dxa"/>
              <w:end w:w="85" w:type="dxa"/>
            </w:tcMar>
            <w:vAlign w:val="center"/>
          </w:tcPr>
          <w:p>
            <w:pPr>
              <w:pStyle w:val="TableText"/>
              <w:jc w:val="center"/>
            </w:pPr>
            <w:r>
              <w:rPr>
                <w:rFonts w:ascii="Aptos" w:hAnsi="Aptos"/>
                <w:b w:val="0"/>
                <w:i w:val="0"/>
                <w:color w:val="000000"/>
                <w:sz w:val="16"/>
              </w:rPr>
              <w:t>TR10</w:t>
            </w:r>
          </w:p>
        </w:tc>
        <w:tc>
          <w:tcPr>
            <w:tcW w:type="dxa" w:w="650"/>
            <w:tcMar>
              <w:top w:w="70" w:type="dxa"/>
              <w:start w:w="85" w:type="dxa"/>
              <w:bottom w:w="70" w:type="dxa"/>
              <w:end w:w="85" w:type="dxa"/>
            </w:tcMar>
            <w:vAlign w:val="center"/>
          </w:tcPr>
          <w:p>
            <w:pPr>
              <w:pStyle w:val="TableText"/>
              <w:jc w:val="center"/>
            </w:pPr>
            <w:r>
              <w:rPr>
                <w:rFonts w:ascii="Aptos" w:hAnsi="Aptos"/>
                <w:b w:val="0"/>
                <w:i w:val="0"/>
                <w:color w:val="000000"/>
                <w:sz w:val="16"/>
              </w:rPr>
              <w:t>42</w:t>
            </w:r>
          </w:p>
        </w:tc>
        <w:tc>
          <w:tcPr>
            <w:tcW w:type="dxa" w:w="1250"/>
            <w:tcMar>
              <w:top w:w="70" w:type="dxa"/>
              <w:start w:w="85" w:type="dxa"/>
              <w:bottom w:w="70" w:type="dxa"/>
              <w:end w:w="85" w:type="dxa"/>
            </w:tcMar>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vAlign w:val="center"/>
          </w:tcPr>
          <w:p>
            <w:pPr>
              <w:pStyle w:val="TableText"/>
              <w:jc w:val="center"/>
            </w:pPr>
            <w:r>
              <w:rPr>
                <w:rFonts w:ascii="Aptos" w:hAnsi="Aptos"/>
                <w:b w:val="0"/>
                <w:i w:val="0"/>
                <w:color w:val="000000"/>
                <w:sz w:val="16"/>
              </w:rPr>
              <w:t>2.652</w:t>
            </w:r>
          </w:p>
        </w:tc>
        <w:tc>
          <w:tcPr>
            <w:tcW w:type="dxa" w:w="1550"/>
            <w:tcMar>
              <w:top w:w="70" w:type="dxa"/>
              <w:start w:w="85" w:type="dxa"/>
              <w:bottom w:w="70" w:type="dxa"/>
              <w:end w:w="85" w:type="dxa"/>
            </w:tcMar>
            <w:vAlign w:val="center"/>
          </w:tcPr>
          <w:p>
            <w:pPr>
              <w:pStyle w:val="TableText"/>
              <w:jc w:val="center"/>
            </w:pPr>
            <w:r>
              <w:rPr>
                <w:rFonts w:ascii="Aptos" w:hAnsi="Aptos"/>
                <w:b w:val="0"/>
                <w:i w:val="0"/>
                <w:color w:val="000000"/>
                <w:sz w:val="16"/>
              </w:rPr>
              <w:t>0.182</w:t>
            </w:r>
          </w:p>
        </w:tc>
        <w:tc>
          <w:tcPr>
            <w:tcW w:type="dxa" w:w="2200"/>
            <w:tcMar>
              <w:top w:w="70" w:type="dxa"/>
              <w:start w:w="85" w:type="dxa"/>
              <w:bottom w:w="70" w:type="dxa"/>
              <w:end w:w="85" w:type="dxa"/>
            </w:tcMar>
            <w:vAlign w:val="center"/>
          </w:tcPr>
          <w:p>
            <w:pPr>
              <w:pStyle w:val="TableText"/>
              <w:jc w:val="center"/>
            </w:pPr>
            <w:r>
              <w:rPr>
                <w:rFonts w:ascii="Aptos" w:hAnsi="Aptos"/>
                <w:b w:val="0"/>
                <w:i w:val="0"/>
                <w:color w:val="000000"/>
                <w:sz w:val="16"/>
              </w:rPr>
              <w:t>95</w:t>
            </w:r>
          </w:p>
        </w:tc>
      </w:tr>
      <w:tr>
        <w:trPr>
          <w:cantSplit/>
        </w:trPr>
        <w:tc>
          <w:tcPr>
            <w:tcW w:type="dxa" w:w="8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TR10</w:t>
            </w:r>
          </w:p>
        </w:tc>
        <w:tc>
          <w:tcPr>
            <w:tcW w:type="dxa" w:w="6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72</w:t>
            </w:r>
          </w:p>
        </w:tc>
        <w:tc>
          <w:tcPr>
            <w:tcW w:type="dxa" w:w="12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100</w:t>
            </w:r>
          </w:p>
        </w:tc>
        <w:tc>
          <w:tcPr>
            <w:tcW w:type="dxa" w:w="13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20</w:t>
            </w:r>
          </w:p>
        </w:tc>
        <w:tc>
          <w:tcPr>
            <w:tcW w:type="dxa" w:w="15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2.752</w:t>
            </w:r>
          </w:p>
        </w:tc>
        <w:tc>
          <w:tcPr>
            <w:tcW w:type="dxa" w:w="155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0.177</w:t>
            </w:r>
          </w:p>
        </w:tc>
        <w:tc>
          <w:tcPr>
            <w:tcW w:type="dxa" w:w="2200"/>
            <w:tcMar>
              <w:top w:w="70" w:type="dxa"/>
              <w:start w:w="85" w:type="dxa"/>
              <w:bottom w:w="70" w:type="dxa"/>
              <w:end w:w="85" w:type="dxa"/>
            </w:tcMar>
            <w:shd w:fill="F5F8FC"/>
            <w:vAlign w:val="center"/>
          </w:tcPr>
          <w:p>
            <w:pPr>
              <w:pStyle w:val="TableText"/>
              <w:jc w:val="center"/>
            </w:pPr>
            <w:r>
              <w:rPr>
                <w:rFonts w:ascii="Aptos" w:hAnsi="Aptos"/>
                <w:b w:val="0"/>
                <w:i w:val="0"/>
                <w:color w:val="000000"/>
                <w:sz w:val="16"/>
              </w:rPr>
              <w:t>90</w:t>
            </w:r>
          </w:p>
        </w:tc>
      </w:tr>
    </w:tbl>
    <w:p>
      <w:pPr>
        <w:spacing w:after="20"/>
      </w:pPr>
    </w:p>
    <w:p>
      <w:r>
        <w:rPr>
          <w:rFonts w:ascii="Aptos" w:hAnsi="Aptos"/>
          <w:b/>
          <w:i w:val="0"/>
          <w:color w:val="000000"/>
          <w:sz w:val="18"/>
        </w:rPr>
        <w:t xml:space="preserve">Storage rule. </w:t>
      </w:r>
      <w:r>
        <w:t>The exact 1,200 epoch rows, timestamps, validation records, logs, run configurations, split summaries and test metrics are retained in the accompanying GitHub-ready evidence package. They are indexed here rather than reproducing 1,200 raw rows inside the narrative report.</w:t>
      </w:r>
    </w:p>
    <w:p>
      <w:pPr>
        <w:pStyle w:val="Heading1"/>
        <w:pageBreakBefore/>
      </w:pPr>
      <w:r>
        <w:t>12 Verification verdict limitations and next action</w:t>
      </w:r>
    </w:p>
    <w:p>
      <w:pPr>
        <w:spacing w:after="60"/>
        <w:ind w:left="346" w:hanging="202"/>
      </w:pPr>
      <w:r>
        <w:rPr>
          <w:rFonts w:ascii="Aptos" w:hAnsi="Aptos"/>
          <w:b w:val="0"/>
          <w:i w:val="0"/>
          <w:color w:val="000000"/>
          <w:sz w:val="21"/>
        </w:rPr>
        <w:t xml:space="preserve">• </w:t>
      </w:r>
      <w:r>
        <w:rPr>
          <w:rFonts w:ascii="Aptos" w:hAnsi="Aptos"/>
          <w:b w:val="0"/>
          <w:i w:val="0"/>
          <w:color w:val="000000"/>
          <w:sz w:val="21"/>
        </w:rPr>
        <w:t>PASS: all three final archives passed CRC checks; JSON, CSV and split evidence agree; every final run completed 100 epochs on a Tesla T4.</w:t>
      </w:r>
    </w:p>
    <w:p>
      <w:pPr>
        <w:spacing w:after="60"/>
        <w:ind w:left="346" w:hanging="202"/>
      </w:pPr>
      <w:r>
        <w:rPr>
          <w:rFonts w:ascii="Aptos" w:hAnsi="Aptos"/>
          <w:b w:val="0"/>
          <w:i w:val="0"/>
          <w:color w:val="000000"/>
          <w:sz w:val="21"/>
        </w:rPr>
        <w:t xml:space="preserve">• </w:t>
      </w:r>
      <w:r>
        <w:rPr>
          <w:rFonts w:ascii="Aptos" w:hAnsi="Aptos"/>
          <w:b w:val="0"/>
          <w:i w:val="0"/>
          <w:color w:val="000000"/>
          <w:sz w:val="21"/>
        </w:rPr>
        <w:t>PASS: rho 0.4 was selected by maximum validation AUROC; the selection record explicitly states that test metrics were not used.</w:t>
      </w:r>
    </w:p>
    <w:p>
      <w:pPr>
        <w:spacing w:after="60"/>
        <w:ind w:left="346" w:hanging="202"/>
      </w:pPr>
      <w:r>
        <w:rPr>
          <w:rFonts w:ascii="Aptos" w:hAnsi="Aptos"/>
          <w:b w:val="0"/>
          <w:i w:val="0"/>
          <w:color w:val="000000"/>
          <w:sz w:val="21"/>
        </w:rPr>
        <w:t xml:space="preserve">• </w:t>
      </w:r>
      <w:r>
        <w:rPr>
          <w:rFonts w:ascii="Aptos" w:hAnsi="Aptos"/>
          <w:b w:val="0"/>
          <w:i w:val="0"/>
          <w:color w:val="000000"/>
          <w:sz w:val="21"/>
        </w:rPr>
        <w:t>PASS: validation and test membership is fixed; nested training membership is identical across model seeds; no overlap or missing labelled nodes was found.</w:t>
      </w: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the final estimate uses three seeds. Means and sample SDs are descriptive and do not support a reliable significance claim.</w:t>
      </w: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the 32-dimensional YelpChi representation, modern software stack and Tesla T4 prevent exact paper replication.</w:t>
      </w:r>
    </w:p>
    <w:p>
      <w:pPr>
        <w:spacing w:after="60"/>
        <w:ind w:left="346" w:hanging="202"/>
      </w:pPr>
      <w:r>
        <w:rPr>
          <w:rFonts w:ascii="Aptos" w:hAnsi="Aptos"/>
          <w:b w:val="0"/>
          <w:i w:val="0"/>
          <w:color w:val="000000"/>
          <w:sz w:val="21"/>
        </w:rPr>
        <w:t xml:space="preserve">• </w:t>
      </w:r>
      <w:r>
        <w:rPr>
          <w:rFonts w:ascii="Aptos" w:hAnsi="Aptos"/>
          <w:b w:val="0"/>
          <w:i w:val="0"/>
          <w:color w:val="000000"/>
          <w:sz w:val="21"/>
        </w:rPr>
        <w:t>Limitation: threshold 0.5 was fixed. Threshold-dependent metrics should only be compared with other models if the same threshold-selection rule is used for all models.</w:t>
      </w:r>
    </w:p>
    <w:p>
      <w:pPr>
        <w:spacing w:after="60"/>
        <w:ind w:left="346" w:hanging="202"/>
      </w:pPr>
      <w:r>
        <w:rPr>
          <w:rFonts w:ascii="Aptos" w:hAnsi="Aptos"/>
          <w:b w:val="0"/>
          <w:i w:val="0"/>
          <w:color w:val="000000"/>
          <w:sz w:val="21"/>
        </w:rPr>
        <w:t xml:space="preserve">• </w:t>
      </w:r>
      <w:r>
        <w:rPr>
          <w:rFonts w:ascii="Aptos" w:hAnsi="Aptos"/>
          <w:b w:val="0"/>
          <w:i w:val="0"/>
          <w:color w:val="000000"/>
          <w:sz w:val="21"/>
        </w:rPr>
        <w:t>Cross-model decision required: the team must use the same validation selection metric for every controlled model or document a predefined exception. This PC-GNN block used validation AUROC.</w:t>
      </w:r>
    </w:p>
    <w:p>
      <w:pPr>
        <w:spacing w:after="60"/>
        <w:ind w:left="346" w:hanging="202"/>
      </w:pPr>
      <w:r>
        <w:rPr>
          <w:rFonts w:ascii="Aptos" w:hAnsi="Aptos"/>
          <w:b w:val="0"/>
          <w:i w:val="0"/>
          <w:color w:val="000000"/>
          <w:sz w:val="21"/>
        </w:rPr>
        <w:t xml:space="preserve">• </w:t>
      </w:r>
      <w:r>
        <w:rPr>
          <w:rFonts w:ascii="Aptos" w:hAnsi="Aptos"/>
          <w:b w:val="0"/>
          <w:i w:val="0"/>
          <w:color w:val="000000"/>
          <w:sz w:val="21"/>
        </w:rPr>
        <w:t>PC-GNN on YelpChi is complete for the current TR40, TR30, TR20 and TR10 three-seed protocol. The next execution block can move to the second assigned model after these files are committed and peer reviewed.</w:t>
      </w:r>
    </w:p>
    <w:p>
      <w:pPr>
        <w:pStyle w:val="Heading1"/>
      </w:pPr>
      <w:r>
        <w:t>References</w:t>
      </w:r>
    </w:p>
    <w:p>
      <w:pPr>
        <w:ind w:left="720" w:hanging="720"/>
      </w:pPr>
      <w:r>
        <w:t xml:space="preserve">Liu, Y., Ao, X., Qin, Z., Chi, J., Feng, J., Yang, H., &amp; He, Q. (2021). Pick and choose: A GNN-based imbalanced learning approach for fraud detection. </w:t>
      </w:r>
      <w:r>
        <w:rPr>
          <w:i/>
        </w:rPr>
        <w:t>Proceedings of the Web Conference 2021</w:t>
      </w:r>
      <w:r>
        <w:t xml:space="preserve">, 3168-3177. </w:t>
      </w:r>
      <w:hyperlink r:id="rId11">
        <w:r>
          <w:rPr>
            <w:color w:val="2F75B5"/>
            <w:u w:val="single"/>
          </w:rPr>
          <w:t>https://doi.org/10.1145/3442381.3449989</w:t>
        </w:r>
      </w:hyperlink>
    </w:p>
    <w:p>
      <w:pPr>
        <w:ind w:left="720" w:hanging="720"/>
      </w:pPr>
      <w:r>
        <w:t xml:space="preserve">PonderLY. PC GNN source repository. </w:t>
      </w:r>
      <w:hyperlink r:id="rId12">
        <w:r>
          <w:rPr>
            <w:color w:val="2F75B5"/>
            <w:u w:val="single"/>
          </w:rPr>
          <w:t>https://github.com/PonderLY/PC-GNN</w:t>
        </w:r>
      </w:hyperlink>
    </w:p>
    <w:sectPr w:rsidR="00FC693F" w:rsidRPr="0006063C" w:rsidSect="00034616">
      <w:headerReference w:type="default" r:id="rId9"/>
      <w:foot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COMP8851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6666"/>
        <w:sz w:val="16"/>
      </w:rPr>
      <w:t>PC GNN YelpChi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3442381.3449989" TargetMode="External"/><Relationship Id="rId12" Type="http://schemas.openxmlformats.org/officeDocument/2006/relationships/hyperlink" Target="https://github.com/PonderLY/PC-GNN"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GNN YelpChi Experiment Record</dc:title>
  <dc:subject>COMP8851 controlled fraud GNN experiment record</dc:subject>
  <dc:creator>COMP8851 project team</dc:creator>
  <cp:keywords>PC-GNN, YelpChi, fraud detection, reproducibility, label scarcity</cp:keywords>
  <dc:description>Final consolidated record generated from verified machine-readable run artefacts.</dc:description>
  <cp:lastModifiedBy/>
  <cp:revision>1</cp:revision>
  <dcterms:created xsi:type="dcterms:W3CDTF">2013-12-23T23:15:00Z</dcterms:created>
  <dcterms:modified xsi:type="dcterms:W3CDTF">2013-12-23T23:15:00Z</dcterms:modified>
  <cp:category/>
</cp:coreProperties>
</file>