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2F625" w14:textId="322A2A2C"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This report presents the outcomes of a comparative benchmarking exercise of two graph neural networks (GNNs) to detect fraud: CARE-GNN and GHRN. The exercise was restricted to six datasets and performed under a fixed protocol. Results reported herein are based on complete three-seed evaluations at test time. Only 50% of the models under evaluation could be benchmarked. Neither of the models could be benchmarked against the T-Social dataset after a total of eight attempts. No result of any kind is reported herein. All figures reported in this document are based on data collected from the corresponding runs. Nothing is based on published data. Results reported herein represent the best achievable result under the given restrictions. Estimates and interpolated results are not reported.</w:t>
      </w:r>
    </w:p>
    <w:p w14:paraId="2879A264" w14:textId="77777777" w:rsidR="0083369C" w:rsidRPr="0066692C" w:rsidRDefault="00000000" w:rsidP="0066692C">
      <w:pPr>
        <w:pStyle w:val="Heading1"/>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Executive Findings</w:t>
      </w:r>
    </w:p>
    <w:p w14:paraId="02937268" w14:textId="16A0958E" w:rsidR="0083369C" w:rsidRPr="0066692C" w:rsidRDefault="00000000" w:rsidP="0066692C">
      <w:pPr>
        <w:spacing w:line="360" w:lineRule="auto"/>
        <w:jc w:val="both"/>
        <w:rPr>
          <w:rFonts w:ascii="Times New Roman" w:hAnsi="Times New Roman" w:cs="Times New Roman"/>
          <w:b/>
          <w:sz w:val="24"/>
          <w:szCs w:val="24"/>
        </w:rPr>
      </w:pPr>
      <w:r w:rsidRPr="0066692C">
        <w:rPr>
          <w:rFonts w:ascii="Times New Roman" w:hAnsi="Times New Roman" w:cs="Times New Roman"/>
          <w:b/>
          <w:sz w:val="24"/>
          <w:szCs w:val="24"/>
        </w:rPr>
        <w:t xml:space="preserve">1. GHRN wins, but narrowly except on one dataset. </w:t>
      </w:r>
      <w:r w:rsidRPr="0066692C">
        <w:rPr>
          <w:rFonts w:ascii="Times New Roman" w:hAnsi="Times New Roman" w:cs="Times New Roman"/>
          <w:sz w:val="24"/>
          <w:szCs w:val="24"/>
        </w:rPr>
        <w:t>GHRN outperformed CARE-GNN across all five datasets and the majority of the evaluation metrics. The margins are small. GHRN’s leads come from AUPRC (0.5390 vs. 0.5111) and fraud recall (0.5618 vs. 0.4670). Its largest AUPRC margin over CARE-GNN was 0.0144. The others were less than 0.004.</w:t>
      </w:r>
    </w:p>
    <w:p w14:paraId="187D617F" w14:textId="29962B93"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b/>
          <w:bCs/>
          <w:sz w:val="24"/>
          <w:szCs w:val="24"/>
        </w:rPr>
        <w:t xml:space="preserve">2. While the difference in accuracy was negligible, </w:t>
      </w:r>
      <w:r w:rsidRPr="0066692C">
        <w:rPr>
          <w:rFonts w:ascii="Times New Roman" w:hAnsi="Times New Roman" w:cs="Times New Roman"/>
          <w:sz w:val="24"/>
          <w:szCs w:val="24"/>
        </w:rPr>
        <w:t>CARE-GNN’s model collapsed during training and thus, had a lower mean during validation. Three of CARE-GNN’s 15 runs collapsed after the first two epochs, in contrast to GHRN which had no collapses. CARE-GNN’s healthy seeds also outperformed GHRN (0.8490 and 0.8756, respectively). Thus, while GHRN outperformed CARE-GNN in this case study, it was because of CARE-GNN’s collapsing nature.</w:t>
      </w:r>
    </w:p>
    <w:p w14:paraId="55A96EA3" w14:textId="011268B8"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b/>
          <w:bCs/>
          <w:sz w:val="24"/>
          <w:szCs w:val="24"/>
        </w:rPr>
        <w:t>3. In attempting model improvement based on the GHRN pape</w:t>
      </w:r>
      <w:r w:rsidRPr="0066692C">
        <w:rPr>
          <w:rFonts w:ascii="Times New Roman" w:hAnsi="Times New Roman" w:cs="Times New Roman"/>
          <w:sz w:val="24"/>
          <w:szCs w:val="24"/>
        </w:rPr>
        <w:t>r, the heterophily transformation improved validation AUPRC in only 8 of 15 runs. In the runs where it improved AUPRC, it improved in an unmeasurable way. In the case study where GHRN was evaluated (Amazon), the unrefined version was better.</w:t>
      </w:r>
    </w:p>
    <w:p w14:paraId="60064764"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b/>
          <w:bCs/>
          <w:sz w:val="24"/>
          <w:szCs w:val="24"/>
        </w:rPr>
        <w:t>4. Both models achieved a rank of 0.5, which is worst-case, against AUROC</w:t>
      </w:r>
      <w:r w:rsidRPr="0066692C">
        <w:rPr>
          <w:rFonts w:ascii="Times New Roman" w:hAnsi="Times New Roman" w:cs="Times New Roman"/>
          <w:sz w:val="24"/>
          <w:szCs w:val="24"/>
        </w:rPr>
        <w:t>. FDCompCN outperformed in all cases. Median fraud nodes do not contain labelled fraud neighbors, making message passing irrelevant.</w:t>
      </w:r>
    </w:p>
    <w:p w14:paraId="6BEDC1E9" w14:textId="77777777" w:rsidR="0083369C" w:rsidRPr="0066692C" w:rsidRDefault="00000000" w:rsidP="0066692C">
      <w:pPr>
        <w:pStyle w:val="Heading1"/>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1. Controlled Comparison Conditions</w:t>
      </w:r>
    </w:p>
    <w:p w14:paraId="1B34E7C8"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 xml:space="preserve">Both methods were performed under the same conditions in order to rule out differences in implementation as opposed to differences in the approach. AUPRC was used for validation to select the appropriate hyperparameters. The decision threshold was then tuned on the validation data using </w:t>
      </w:r>
      <w:r w:rsidRPr="0066692C">
        <w:rPr>
          <w:rFonts w:ascii="Times New Roman" w:hAnsi="Times New Roman" w:cs="Times New Roman"/>
          <w:sz w:val="24"/>
          <w:szCs w:val="24"/>
        </w:rPr>
        <w:lastRenderedPageBreak/>
        <w:t>Macro F1 and fixed at its best value. For the final runs, the test data was evaluated once. Test data was isolated for each run by specifying the command, and the remaining data was not evaluated.</w:t>
      </w:r>
    </w:p>
    <w:tbl>
      <w:tblPr>
        <w:tblStyle w:val="TableGrid"/>
        <w:tblW w:w="0" w:type="auto"/>
        <w:jc w:val="center"/>
        <w:tblLook w:val="04A0" w:firstRow="1" w:lastRow="0" w:firstColumn="1" w:lastColumn="0" w:noHBand="0" w:noVBand="1"/>
      </w:tblPr>
      <w:tblGrid>
        <w:gridCol w:w="2304"/>
        <w:gridCol w:w="7056"/>
      </w:tblGrid>
      <w:tr w:rsidR="0083369C" w:rsidRPr="0066692C" w14:paraId="5AE33DF2" w14:textId="77777777">
        <w:trPr>
          <w:jc w:val="center"/>
        </w:trPr>
        <w:tc>
          <w:tcPr>
            <w:tcW w:w="2304" w:type="dxa"/>
          </w:tcPr>
          <w:p w14:paraId="57AC98EE"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b/>
                <w:color w:val="FFFFFF"/>
                <w:sz w:val="24"/>
                <w:szCs w:val="24"/>
              </w:rPr>
              <w:t>Condition</w:t>
            </w:r>
          </w:p>
        </w:tc>
        <w:tc>
          <w:tcPr>
            <w:tcW w:w="7056" w:type="dxa"/>
          </w:tcPr>
          <w:p w14:paraId="1373C1EC"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b/>
                <w:color w:val="FFFFFF"/>
                <w:sz w:val="24"/>
                <w:szCs w:val="24"/>
              </w:rPr>
              <w:t>Setting</w:t>
            </w:r>
          </w:p>
        </w:tc>
      </w:tr>
      <w:tr w:rsidR="0083369C" w:rsidRPr="0066692C" w14:paraId="6BD31D3C" w14:textId="77777777">
        <w:trPr>
          <w:jc w:val="center"/>
        </w:trPr>
        <w:tc>
          <w:tcPr>
            <w:tcW w:w="2304" w:type="dxa"/>
          </w:tcPr>
          <w:p w14:paraId="5ACC4421"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Split registry</w:t>
            </w:r>
          </w:p>
        </w:tc>
        <w:tc>
          <w:tcPr>
            <w:tcW w:w="7056" w:type="dxa"/>
          </w:tcPr>
          <w:p w14:paraId="695E904F"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Persistent node IDs, split seed 2, identical across both models</w:t>
            </w:r>
          </w:p>
        </w:tc>
      </w:tr>
      <w:tr w:rsidR="0083369C" w:rsidRPr="0066692C" w14:paraId="22A4EBD4" w14:textId="77777777">
        <w:trPr>
          <w:jc w:val="center"/>
        </w:trPr>
        <w:tc>
          <w:tcPr>
            <w:tcW w:w="2304" w:type="dxa"/>
          </w:tcPr>
          <w:p w14:paraId="1D156E46"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Training seeds</w:t>
            </w:r>
          </w:p>
        </w:tc>
        <w:tc>
          <w:tcPr>
            <w:tcW w:w="7056" w:type="dxa"/>
          </w:tcPr>
          <w:p w14:paraId="5A34476C"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2, 42, 72 on every completed cell</w:t>
            </w:r>
          </w:p>
        </w:tc>
      </w:tr>
      <w:tr w:rsidR="0083369C" w:rsidRPr="0066692C" w14:paraId="0E3C8840" w14:textId="77777777">
        <w:trPr>
          <w:jc w:val="center"/>
        </w:trPr>
        <w:tc>
          <w:tcPr>
            <w:tcW w:w="2304" w:type="dxa"/>
          </w:tcPr>
          <w:p w14:paraId="2BF7E594"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Training ratio</w:t>
            </w:r>
          </w:p>
        </w:tc>
        <w:tc>
          <w:tcPr>
            <w:tcW w:w="7056" w:type="dxa"/>
          </w:tcPr>
          <w:p w14:paraId="602F3621"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TR40 (40/20/40)</w:t>
            </w:r>
          </w:p>
        </w:tc>
      </w:tr>
      <w:tr w:rsidR="0083369C" w:rsidRPr="0066692C" w14:paraId="34CC1F11" w14:textId="77777777">
        <w:trPr>
          <w:jc w:val="center"/>
        </w:trPr>
        <w:tc>
          <w:tcPr>
            <w:tcW w:w="2304" w:type="dxa"/>
          </w:tcPr>
          <w:p w14:paraId="4343C72E"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Optimiser</w:t>
            </w:r>
          </w:p>
        </w:tc>
        <w:tc>
          <w:tcPr>
            <w:tcW w:w="7056" w:type="dxa"/>
          </w:tcPr>
          <w:p w14:paraId="1A3D17F0"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Adam, betas 0.9 / 0.999, eps 1e-8</w:t>
            </w:r>
          </w:p>
        </w:tc>
      </w:tr>
      <w:tr w:rsidR="0083369C" w:rsidRPr="0066692C" w14:paraId="43C25CA9" w14:textId="77777777">
        <w:trPr>
          <w:jc w:val="center"/>
        </w:trPr>
        <w:tc>
          <w:tcPr>
            <w:tcW w:w="2304" w:type="dxa"/>
          </w:tcPr>
          <w:p w14:paraId="15D09097"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Epoch budget</w:t>
            </w:r>
          </w:p>
        </w:tc>
        <w:tc>
          <w:tcPr>
            <w:tcW w:w="7056" w:type="dxa"/>
          </w:tcPr>
          <w:p w14:paraId="7D47BA48"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100 per stage, early-stopping patience 20</w:t>
            </w:r>
          </w:p>
        </w:tc>
      </w:tr>
      <w:tr w:rsidR="0083369C" w:rsidRPr="0066692C" w14:paraId="6C6C9419" w14:textId="77777777">
        <w:trPr>
          <w:jc w:val="center"/>
        </w:trPr>
        <w:tc>
          <w:tcPr>
            <w:tcW w:w="2304" w:type="dxa"/>
          </w:tcPr>
          <w:p w14:paraId="126986A8"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Evaluator</w:t>
            </w:r>
          </w:p>
        </w:tc>
        <w:tc>
          <w:tcPr>
            <w:tcW w:w="7056" w:type="dxa"/>
          </w:tcPr>
          <w:p w14:paraId="755F848A"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One shared metric implementation; neither model scores itself</w:t>
            </w:r>
          </w:p>
        </w:tc>
      </w:tr>
      <w:tr w:rsidR="0083369C" w:rsidRPr="0066692C" w14:paraId="23A75A85" w14:textId="77777777">
        <w:trPr>
          <w:jc w:val="center"/>
        </w:trPr>
        <w:tc>
          <w:tcPr>
            <w:tcW w:w="2304" w:type="dxa"/>
          </w:tcPr>
          <w:p w14:paraId="1C7A6790"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Graph view</w:t>
            </w:r>
          </w:p>
        </w:tc>
        <w:tc>
          <w:tcPr>
            <w:tcW w:w="7056" w:type="dxa"/>
          </w:tcPr>
          <w:p w14:paraId="1EE3C91F"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Verified identical — both models reported the same heterophily to 6 dp</w:t>
            </w:r>
          </w:p>
        </w:tc>
      </w:tr>
    </w:tbl>
    <w:p w14:paraId="664852E4" w14:textId="77777777" w:rsidR="0083369C" w:rsidRPr="0066692C" w:rsidRDefault="00000000" w:rsidP="0066692C">
      <w:pPr>
        <w:spacing w:after="200" w:line="360" w:lineRule="auto"/>
        <w:jc w:val="both"/>
        <w:rPr>
          <w:rFonts w:ascii="Times New Roman" w:hAnsi="Times New Roman" w:cs="Times New Roman"/>
          <w:sz w:val="24"/>
          <w:szCs w:val="24"/>
        </w:rPr>
      </w:pPr>
      <w:r w:rsidRPr="0066692C">
        <w:rPr>
          <w:rFonts w:ascii="Times New Roman" w:hAnsi="Times New Roman" w:cs="Times New Roman"/>
          <w:i/>
          <w:sz w:val="24"/>
          <w:szCs w:val="24"/>
        </w:rPr>
        <w:t>Table 1. Frozen comparison conditions.</w:t>
      </w:r>
    </w:p>
    <w:p w14:paraId="7FA0E5F7" w14:textId="77777777" w:rsidR="0083369C" w:rsidRPr="0066692C" w:rsidRDefault="00000000" w:rsidP="0066692C">
      <w:pPr>
        <w:pStyle w:val="Heading1"/>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2. Execution Status</w:t>
      </w:r>
    </w:p>
    <w:tbl>
      <w:tblPr>
        <w:tblStyle w:val="TableGrid"/>
        <w:tblW w:w="0" w:type="auto"/>
        <w:jc w:val="center"/>
        <w:tblLook w:val="04A0" w:firstRow="1" w:lastRow="0" w:firstColumn="1" w:lastColumn="0" w:noHBand="0" w:noVBand="1"/>
      </w:tblPr>
      <w:tblGrid>
        <w:gridCol w:w="2016"/>
        <w:gridCol w:w="2448"/>
        <w:gridCol w:w="2448"/>
        <w:gridCol w:w="2448"/>
      </w:tblGrid>
      <w:tr w:rsidR="0083369C" w:rsidRPr="0066692C" w14:paraId="77C2756A" w14:textId="77777777">
        <w:trPr>
          <w:jc w:val="center"/>
        </w:trPr>
        <w:tc>
          <w:tcPr>
            <w:tcW w:w="2016" w:type="dxa"/>
          </w:tcPr>
          <w:p w14:paraId="5AA33F92"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b/>
                <w:color w:val="FFFFFF"/>
                <w:sz w:val="24"/>
                <w:szCs w:val="24"/>
              </w:rPr>
              <w:t>Dataset</w:t>
            </w:r>
          </w:p>
        </w:tc>
        <w:tc>
          <w:tcPr>
            <w:tcW w:w="2448" w:type="dxa"/>
          </w:tcPr>
          <w:p w14:paraId="43CAB435"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b/>
                <w:color w:val="FFFFFF"/>
                <w:sz w:val="24"/>
                <w:szCs w:val="24"/>
              </w:rPr>
              <w:t>CARE-GNN</w:t>
            </w:r>
          </w:p>
        </w:tc>
        <w:tc>
          <w:tcPr>
            <w:tcW w:w="2448" w:type="dxa"/>
          </w:tcPr>
          <w:p w14:paraId="52702BDF"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b/>
                <w:color w:val="FFFFFF"/>
                <w:sz w:val="24"/>
                <w:szCs w:val="24"/>
              </w:rPr>
              <w:t>GHRN</w:t>
            </w:r>
          </w:p>
        </w:tc>
        <w:tc>
          <w:tcPr>
            <w:tcW w:w="2448" w:type="dxa"/>
          </w:tcPr>
          <w:p w14:paraId="344FE2F4"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b/>
                <w:color w:val="FFFFFF"/>
                <w:sz w:val="24"/>
                <w:szCs w:val="24"/>
              </w:rPr>
              <w:t>GPU</w:t>
            </w:r>
          </w:p>
        </w:tc>
      </w:tr>
      <w:tr w:rsidR="0083369C" w:rsidRPr="0066692C" w14:paraId="759D20C6" w14:textId="77777777">
        <w:trPr>
          <w:jc w:val="center"/>
        </w:trPr>
        <w:tc>
          <w:tcPr>
            <w:tcW w:w="2016" w:type="dxa"/>
          </w:tcPr>
          <w:p w14:paraId="7A1F6E59"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YelpChi</w:t>
            </w:r>
          </w:p>
        </w:tc>
        <w:tc>
          <w:tcPr>
            <w:tcW w:w="2448" w:type="dxa"/>
          </w:tcPr>
          <w:p w14:paraId="22D93C80"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COMPLETED</w:t>
            </w:r>
          </w:p>
        </w:tc>
        <w:tc>
          <w:tcPr>
            <w:tcW w:w="2448" w:type="dxa"/>
          </w:tcPr>
          <w:p w14:paraId="02F2D132"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COMPLETED</w:t>
            </w:r>
          </w:p>
        </w:tc>
        <w:tc>
          <w:tcPr>
            <w:tcW w:w="2448" w:type="dxa"/>
          </w:tcPr>
          <w:p w14:paraId="385024B6"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NVIDIA RTX A6000</w:t>
            </w:r>
          </w:p>
        </w:tc>
      </w:tr>
      <w:tr w:rsidR="0083369C" w:rsidRPr="0066692C" w14:paraId="477EA942" w14:textId="77777777">
        <w:trPr>
          <w:jc w:val="center"/>
        </w:trPr>
        <w:tc>
          <w:tcPr>
            <w:tcW w:w="2016" w:type="dxa"/>
          </w:tcPr>
          <w:p w14:paraId="27FF47CA"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Amazon</w:t>
            </w:r>
          </w:p>
        </w:tc>
        <w:tc>
          <w:tcPr>
            <w:tcW w:w="2448" w:type="dxa"/>
          </w:tcPr>
          <w:p w14:paraId="0771CD9A"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COMPLETED</w:t>
            </w:r>
          </w:p>
        </w:tc>
        <w:tc>
          <w:tcPr>
            <w:tcW w:w="2448" w:type="dxa"/>
          </w:tcPr>
          <w:p w14:paraId="33E94FC8"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COMPLETED</w:t>
            </w:r>
          </w:p>
        </w:tc>
        <w:tc>
          <w:tcPr>
            <w:tcW w:w="2448" w:type="dxa"/>
          </w:tcPr>
          <w:p w14:paraId="18A68666"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NVIDIA RTX A6000</w:t>
            </w:r>
          </w:p>
        </w:tc>
      </w:tr>
      <w:tr w:rsidR="0083369C" w:rsidRPr="0066692C" w14:paraId="34814381" w14:textId="77777777">
        <w:trPr>
          <w:jc w:val="center"/>
        </w:trPr>
        <w:tc>
          <w:tcPr>
            <w:tcW w:w="2016" w:type="dxa"/>
          </w:tcPr>
          <w:p w14:paraId="61301746"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T-Finance</w:t>
            </w:r>
          </w:p>
        </w:tc>
        <w:tc>
          <w:tcPr>
            <w:tcW w:w="2448" w:type="dxa"/>
          </w:tcPr>
          <w:p w14:paraId="0CF9D184"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COMPLETED</w:t>
            </w:r>
          </w:p>
        </w:tc>
        <w:tc>
          <w:tcPr>
            <w:tcW w:w="2448" w:type="dxa"/>
          </w:tcPr>
          <w:p w14:paraId="66E77CCF"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COMPLETED</w:t>
            </w:r>
          </w:p>
        </w:tc>
        <w:tc>
          <w:tcPr>
            <w:tcW w:w="2448" w:type="dxa"/>
          </w:tcPr>
          <w:p w14:paraId="59ABF274"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Tesla T4</w:t>
            </w:r>
          </w:p>
        </w:tc>
      </w:tr>
      <w:tr w:rsidR="0083369C" w:rsidRPr="0066692C" w14:paraId="49CD6B83" w14:textId="77777777">
        <w:trPr>
          <w:jc w:val="center"/>
        </w:trPr>
        <w:tc>
          <w:tcPr>
            <w:tcW w:w="2016" w:type="dxa"/>
          </w:tcPr>
          <w:p w14:paraId="5E076CE6"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T-Social</w:t>
            </w:r>
          </w:p>
        </w:tc>
        <w:tc>
          <w:tcPr>
            <w:tcW w:w="2448" w:type="dxa"/>
          </w:tcPr>
          <w:p w14:paraId="5DE9A6DE"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FAILED</w:t>
            </w:r>
          </w:p>
        </w:tc>
        <w:tc>
          <w:tcPr>
            <w:tcW w:w="2448" w:type="dxa"/>
          </w:tcPr>
          <w:p w14:paraId="67B38164"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FAILED</w:t>
            </w:r>
          </w:p>
        </w:tc>
        <w:tc>
          <w:tcPr>
            <w:tcW w:w="2448" w:type="dxa"/>
          </w:tcPr>
          <w:p w14:paraId="6C77C4FF"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w:t>
            </w:r>
          </w:p>
        </w:tc>
      </w:tr>
      <w:tr w:rsidR="0083369C" w:rsidRPr="0066692C" w14:paraId="4BB81C35" w14:textId="77777777">
        <w:trPr>
          <w:jc w:val="center"/>
        </w:trPr>
        <w:tc>
          <w:tcPr>
            <w:tcW w:w="2016" w:type="dxa"/>
          </w:tcPr>
          <w:p w14:paraId="68A26A9C"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Elliptic</w:t>
            </w:r>
          </w:p>
        </w:tc>
        <w:tc>
          <w:tcPr>
            <w:tcW w:w="2448" w:type="dxa"/>
          </w:tcPr>
          <w:p w14:paraId="39E0E3B3"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COMPLETED</w:t>
            </w:r>
          </w:p>
        </w:tc>
        <w:tc>
          <w:tcPr>
            <w:tcW w:w="2448" w:type="dxa"/>
          </w:tcPr>
          <w:p w14:paraId="038C1BA1"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COMPLETED</w:t>
            </w:r>
          </w:p>
        </w:tc>
        <w:tc>
          <w:tcPr>
            <w:tcW w:w="2448" w:type="dxa"/>
          </w:tcPr>
          <w:p w14:paraId="310C9B8C"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NVIDIA RTX A6000</w:t>
            </w:r>
          </w:p>
        </w:tc>
      </w:tr>
      <w:tr w:rsidR="0083369C" w:rsidRPr="0066692C" w14:paraId="0E0ABCF8" w14:textId="77777777">
        <w:trPr>
          <w:jc w:val="center"/>
        </w:trPr>
        <w:tc>
          <w:tcPr>
            <w:tcW w:w="2016" w:type="dxa"/>
          </w:tcPr>
          <w:p w14:paraId="711EE8A1"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FDCompCN</w:t>
            </w:r>
          </w:p>
        </w:tc>
        <w:tc>
          <w:tcPr>
            <w:tcW w:w="2448" w:type="dxa"/>
          </w:tcPr>
          <w:p w14:paraId="49CF5E5A"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COMPLETED</w:t>
            </w:r>
          </w:p>
        </w:tc>
        <w:tc>
          <w:tcPr>
            <w:tcW w:w="2448" w:type="dxa"/>
          </w:tcPr>
          <w:p w14:paraId="336371E5"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COMPLETED</w:t>
            </w:r>
          </w:p>
        </w:tc>
        <w:tc>
          <w:tcPr>
            <w:tcW w:w="2448" w:type="dxa"/>
          </w:tcPr>
          <w:p w14:paraId="091537CF"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NVIDIA RTX A6000</w:t>
            </w:r>
          </w:p>
        </w:tc>
      </w:tr>
    </w:tbl>
    <w:p w14:paraId="4D00357C" w14:textId="77777777" w:rsidR="0083369C" w:rsidRPr="0066692C" w:rsidRDefault="00000000" w:rsidP="0066692C">
      <w:pPr>
        <w:spacing w:after="200" w:line="360" w:lineRule="auto"/>
        <w:jc w:val="both"/>
        <w:rPr>
          <w:rFonts w:ascii="Times New Roman" w:hAnsi="Times New Roman" w:cs="Times New Roman"/>
          <w:sz w:val="24"/>
          <w:szCs w:val="24"/>
        </w:rPr>
      </w:pPr>
      <w:r w:rsidRPr="0066692C">
        <w:rPr>
          <w:rFonts w:ascii="Times New Roman" w:hAnsi="Times New Roman" w:cs="Times New Roman"/>
          <w:i/>
          <w:sz w:val="24"/>
          <w:szCs w:val="24"/>
        </w:rPr>
        <w:t>Table 2. All 12 required pairs. 10 completed, 2 failed, none skipped.</w:t>
      </w:r>
    </w:p>
    <w:p w14:paraId="1C10A327"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Every one of the twelve cells was attempted. The two that failed are both T-Social and are documented in section 7 rather than omitted.</w:t>
      </w:r>
    </w:p>
    <w:p w14:paraId="454FBF1F" w14:textId="77777777" w:rsidR="0083369C" w:rsidRPr="0066692C" w:rsidRDefault="00000000" w:rsidP="0066692C">
      <w:pPr>
        <w:pStyle w:val="Heading1"/>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lastRenderedPageBreak/>
        <w:t>3. Core Test Performance at TR40</w:t>
      </w:r>
    </w:p>
    <w:tbl>
      <w:tblPr>
        <w:tblStyle w:val="TableGrid"/>
        <w:tblW w:w="0" w:type="auto"/>
        <w:jc w:val="center"/>
        <w:tblLook w:val="04A0" w:firstRow="1" w:lastRow="0" w:firstColumn="1" w:lastColumn="0" w:noHBand="0" w:noVBand="1"/>
      </w:tblPr>
      <w:tblGrid>
        <w:gridCol w:w="1584"/>
        <w:gridCol w:w="2016"/>
        <w:gridCol w:w="2016"/>
        <w:gridCol w:w="1944"/>
        <w:gridCol w:w="1944"/>
      </w:tblGrid>
      <w:tr w:rsidR="0083369C" w:rsidRPr="0066692C" w14:paraId="41ACD319" w14:textId="77777777">
        <w:trPr>
          <w:jc w:val="center"/>
        </w:trPr>
        <w:tc>
          <w:tcPr>
            <w:tcW w:w="1584" w:type="dxa"/>
          </w:tcPr>
          <w:p w14:paraId="1F63EBB2"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b/>
                <w:color w:val="FFFFFF"/>
                <w:sz w:val="24"/>
                <w:szCs w:val="24"/>
              </w:rPr>
              <w:t>Dataset</w:t>
            </w:r>
          </w:p>
        </w:tc>
        <w:tc>
          <w:tcPr>
            <w:tcW w:w="2016" w:type="dxa"/>
          </w:tcPr>
          <w:p w14:paraId="5755C090"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b/>
                <w:color w:val="FFFFFF"/>
                <w:sz w:val="24"/>
                <w:szCs w:val="24"/>
              </w:rPr>
              <w:t>CARE-GNN AUPRC</w:t>
            </w:r>
          </w:p>
        </w:tc>
        <w:tc>
          <w:tcPr>
            <w:tcW w:w="2016" w:type="dxa"/>
          </w:tcPr>
          <w:p w14:paraId="0FC9374C"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b/>
                <w:color w:val="FFFFFF"/>
                <w:sz w:val="24"/>
                <w:szCs w:val="24"/>
              </w:rPr>
              <w:t>GHRN AUPRC</w:t>
            </w:r>
          </w:p>
        </w:tc>
        <w:tc>
          <w:tcPr>
            <w:tcW w:w="1944" w:type="dxa"/>
          </w:tcPr>
          <w:p w14:paraId="355B1010"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b/>
                <w:color w:val="FFFFFF"/>
                <w:sz w:val="24"/>
                <w:szCs w:val="24"/>
              </w:rPr>
              <w:t>CARE-GNN AUROC</w:t>
            </w:r>
          </w:p>
        </w:tc>
        <w:tc>
          <w:tcPr>
            <w:tcW w:w="1944" w:type="dxa"/>
          </w:tcPr>
          <w:p w14:paraId="01840B29"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b/>
                <w:color w:val="FFFFFF"/>
                <w:sz w:val="24"/>
                <w:szCs w:val="24"/>
              </w:rPr>
              <w:t>GHRN AUROC</w:t>
            </w:r>
          </w:p>
        </w:tc>
      </w:tr>
      <w:tr w:rsidR="0083369C" w:rsidRPr="0066692C" w14:paraId="2B8E2F2D" w14:textId="77777777">
        <w:trPr>
          <w:jc w:val="center"/>
        </w:trPr>
        <w:tc>
          <w:tcPr>
            <w:tcW w:w="1584" w:type="dxa"/>
          </w:tcPr>
          <w:p w14:paraId="1E2B508F"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YelpChi</w:t>
            </w:r>
          </w:p>
        </w:tc>
        <w:tc>
          <w:tcPr>
            <w:tcW w:w="2016" w:type="dxa"/>
          </w:tcPr>
          <w:p w14:paraId="7EBE4128"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0.5104 ± 0.0127</w:t>
            </w:r>
          </w:p>
        </w:tc>
        <w:tc>
          <w:tcPr>
            <w:tcW w:w="2016" w:type="dxa"/>
          </w:tcPr>
          <w:p w14:paraId="63D6991C"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0.5248 ± 0.0123</w:t>
            </w:r>
          </w:p>
        </w:tc>
        <w:tc>
          <w:tcPr>
            <w:tcW w:w="1944" w:type="dxa"/>
          </w:tcPr>
          <w:p w14:paraId="3ABCB17F"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0.8374 ± 0.0077</w:t>
            </w:r>
          </w:p>
        </w:tc>
        <w:tc>
          <w:tcPr>
            <w:tcW w:w="1944" w:type="dxa"/>
          </w:tcPr>
          <w:p w14:paraId="73F2254F"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0.8384 ± 0.0075</w:t>
            </w:r>
          </w:p>
        </w:tc>
      </w:tr>
      <w:tr w:rsidR="0083369C" w:rsidRPr="0066692C" w14:paraId="15CD4DD1" w14:textId="77777777">
        <w:trPr>
          <w:jc w:val="center"/>
        </w:trPr>
        <w:tc>
          <w:tcPr>
            <w:tcW w:w="1584" w:type="dxa"/>
          </w:tcPr>
          <w:p w14:paraId="08B4A559"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Amazon</w:t>
            </w:r>
          </w:p>
        </w:tc>
        <w:tc>
          <w:tcPr>
            <w:tcW w:w="2016" w:type="dxa"/>
          </w:tcPr>
          <w:p w14:paraId="1537EC33"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0.7152 ± 0.2320</w:t>
            </w:r>
          </w:p>
        </w:tc>
        <w:tc>
          <w:tcPr>
            <w:tcW w:w="2016" w:type="dxa"/>
          </w:tcPr>
          <w:p w14:paraId="1D6D2218"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0.8756 ± 0.0235</w:t>
            </w:r>
          </w:p>
        </w:tc>
        <w:tc>
          <w:tcPr>
            <w:tcW w:w="1944" w:type="dxa"/>
          </w:tcPr>
          <w:p w14:paraId="7EC1A3B8"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0.8951 ± 0.1016</w:t>
            </w:r>
          </w:p>
        </w:tc>
        <w:tc>
          <w:tcPr>
            <w:tcW w:w="1944" w:type="dxa"/>
          </w:tcPr>
          <w:p w14:paraId="65B2C21A"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0.9707 ± 0.0107</w:t>
            </w:r>
          </w:p>
        </w:tc>
      </w:tr>
      <w:tr w:rsidR="0083369C" w:rsidRPr="0066692C" w14:paraId="6B5B05B3" w14:textId="77777777">
        <w:trPr>
          <w:jc w:val="center"/>
        </w:trPr>
        <w:tc>
          <w:tcPr>
            <w:tcW w:w="1584" w:type="dxa"/>
          </w:tcPr>
          <w:p w14:paraId="002F13C3"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T-Finance</w:t>
            </w:r>
          </w:p>
        </w:tc>
        <w:tc>
          <w:tcPr>
            <w:tcW w:w="2016" w:type="dxa"/>
          </w:tcPr>
          <w:p w14:paraId="2915C23C"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0.7120 ± 0.0403</w:t>
            </w:r>
          </w:p>
        </w:tc>
        <w:tc>
          <w:tcPr>
            <w:tcW w:w="2016" w:type="dxa"/>
          </w:tcPr>
          <w:p w14:paraId="42C93996"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0.6764 ± 0.2060</w:t>
            </w:r>
          </w:p>
        </w:tc>
        <w:tc>
          <w:tcPr>
            <w:tcW w:w="1944" w:type="dxa"/>
          </w:tcPr>
          <w:p w14:paraId="3CB303C9"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0.8794 ± 0.0436</w:t>
            </w:r>
          </w:p>
        </w:tc>
        <w:tc>
          <w:tcPr>
            <w:tcW w:w="1944" w:type="dxa"/>
          </w:tcPr>
          <w:p w14:paraId="3AA51D1F"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0.9101 ± 0.0666</w:t>
            </w:r>
          </w:p>
        </w:tc>
      </w:tr>
      <w:tr w:rsidR="0083369C" w:rsidRPr="0066692C" w14:paraId="36779C95" w14:textId="77777777">
        <w:trPr>
          <w:jc w:val="center"/>
        </w:trPr>
        <w:tc>
          <w:tcPr>
            <w:tcW w:w="1584" w:type="dxa"/>
          </w:tcPr>
          <w:p w14:paraId="1DF6A342"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T-Social</w:t>
            </w:r>
          </w:p>
        </w:tc>
        <w:tc>
          <w:tcPr>
            <w:tcW w:w="2016" w:type="dxa"/>
          </w:tcPr>
          <w:p w14:paraId="19E1DEF0"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[FAILED]</w:t>
            </w:r>
          </w:p>
        </w:tc>
        <w:tc>
          <w:tcPr>
            <w:tcW w:w="2016" w:type="dxa"/>
          </w:tcPr>
          <w:p w14:paraId="09326D5D"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[FAILED]</w:t>
            </w:r>
          </w:p>
        </w:tc>
        <w:tc>
          <w:tcPr>
            <w:tcW w:w="1944" w:type="dxa"/>
          </w:tcPr>
          <w:p w14:paraId="6E9A49E5"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[FAILED]</w:t>
            </w:r>
          </w:p>
        </w:tc>
        <w:tc>
          <w:tcPr>
            <w:tcW w:w="1944" w:type="dxa"/>
          </w:tcPr>
          <w:p w14:paraId="3011D07A"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[FAILED]</w:t>
            </w:r>
          </w:p>
        </w:tc>
      </w:tr>
      <w:tr w:rsidR="0083369C" w:rsidRPr="0066692C" w14:paraId="023C71B7" w14:textId="77777777">
        <w:trPr>
          <w:jc w:val="center"/>
        </w:trPr>
        <w:tc>
          <w:tcPr>
            <w:tcW w:w="1584" w:type="dxa"/>
          </w:tcPr>
          <w:p w14:paraId="25BEC5D0"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Elliptic</w:t>
            </w:r>
          </w:p>
        </w:tc>
        <w:tc>
          <w:tcPr>
            <w:tcW w:w="2016" w:type="dxa"/>
          </w:tcPr>
          <w:p w14:paraId="22B7938E"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0.4839 ± 0.0269</w:t>
            </w:r>
          </w:p>
        </w:tc>
        <w:tc>
          <w:tcPr>
            <w:tcW w:w="2016" w:type="dxa"/>
          </w:tcPr>
          <w:p w14:paraId="77A48400"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0.4978 ± 0.0574</w:t>
            </w:r>
          </w:p>
        </w:tc>
        <w:tc>
          <w:tcPr>
            <w:tcW w:w="1944" w:type="dxa"/>
          </w:tcPr>
          <w:p w14:paraId="7D68F6E5"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0.8811 ± 0.0078</w:t>
            </w:r>
          </w:p>
        </w:tc>
        <w:tc>
          <w:tcPr>
            <w:tcW w:w="1944" w:type="dxa"/>
          </w:tcPr>
          <w:p w14:paraId="3ED4BBFB"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0.8911 ± 0.0030</w:t>
            </w:r>
          </w:p>
        </w:tc>
      </w:tr>
      <w:tr w:rsidR="0083369C" w:rsidRPr="0066692C" w14:paraId="34EAE4EB" w14:textId="77777777">
        <w:trPr>
          <w:jc w:val="center"/>
        </w:trPr>
        <w:tc>
          <w:tcPr>
            <w:tcW w:w="1584" w:type="dxa"/>
          </w:tcPr>
          <w:p w14:paraId="63E331AD"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FDCompCN</w:t>
            </w:r>
          </w:p>
        </w:tc>
        <w:tc>
          <w:tcPr>
            <w:tcW w:w="2016" w:type="dxa"/>
          </w:tcPr>
          <w:p w14:paraId="1DF59C88"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0.1340 ± 0.0131</w:t>
            </w:r>
          </w:p>
        </w:tc>
        <w:tc>
          <w:tcPr>
            <w:tcW w:w="2016" w:type="dxa"/>
          </w:tcPr>
          <w:p w14:paraId="7282E059"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0.1204 ± 0.0032</w:t>
            </w:r>
          </w:p>
        </w:tc>
        <w:tc>
          <w:tcPr>
            <w:tcW w:w="1944" w:type="dxa"/>
          </w:tcPr>
          <w:p w14:paraId="21E5B975"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0.5527 ± 0.0245</w:t>
            </w:r>
          </w:p>
        </w:tc>
        <w:tc>
          <w:tcPr>
            <w:tcW w:w="1944" w:type="dxa"/>
          </w:tcPr>
          <w:p w14:paraId="0508928D"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0.5525 ± 0.0038</w:t>
            </w:r>
          </w:p>
        </w:tc>
      </w:tr>
    </w:tbl>
    <w:p w14:paraId="325CDFF7" w14:textId="77777777" w:rsidR="0083369C" w:rsidRPr="0066692C" w:rsidRDefault="00000000" w:rsidP="0066692C">
      <w:pPr>
        <w:spacing w:after="200" w:line="360" w:lineRule="auto"/>
        <w:jc w:val="both"/>
        <w:rPr>
          <w:rFonts w:ascii="Times New Roman" w:hAnsi="Times New Roman" w:cs="Times New Roman"/>
          <w:sz w:val="24"/>
          <w:szCs w:val="24"/>
        </w:rPr>
      </w:pPr>
      <w:r w:rsidRPr="0066692C">
        <w:rPr>
          <w:rFonts w:ascii="Times New Roman" w:hAnsi="Times New Roman" w:cs="Times New Roman"/>
          <w:i/>
          <w:sz w:val="24"/>
          <w:szCs w:val="24"/>
        </w:rPr>
        <w:t>Table 3. AUPRC and AUROC, mean ± sample SD over three seeds.</w:t>
      </w:r>
    </w:p>
    <w:tbl>
      <w:tblPr>
        <w:tblStyle w:val="TableGrid"/>
        <w:tblW w:w="0" w:type="auto"/>
        <w:jc w:val="center"/>
        <w:tblLook w:val="04A0" w:firstRow="1" w:lastRow="0" w:firstColumn="1" w:lastColumn="0" w:noHBand="0" w:noVBand="1"/>
      </w:tblPr>
      <w:tblGrid>
        <w:gridCol w:w="1584"/>
        <w:gridCol w:w="2016"/>
        <w:gridCol w:w="2016"/>
        <w:gridCol w:w="1944"/>
        <w:gridCol w:w="1944"/>
      </w:tblGrid>
      <w:tr w:rsidR="0083369C" w:rsidRPr="0066692C" w14:paraId="06859F95" w14:textId="77777777">
        <w:trPr>
          <w:jc w:val="center"/>
        </w:trPr>
        <w:tc>
          <w:tcPr>
            <w:tcW w:w="1584" w:type="dxa"/>
          </w:tcPr>
          <w:p w14:paraId="3008E358"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b/>
                <w:color w:val="FFFFFF"/>
                <w:sz w:val="24"/>
                <w:szCs w:val="24"/>
              </w:rPr>
              <w:t>Dataset</w:t>
            </w:r>
          </w:p>
        </w:tc>
        <w:tc>
          <w:tcPr>
            <w:tcW w:w="2016" w:type="dxa"/>
          </w:tcPr>
          <w:p w14:paraId="60066DED"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b/>
                <w:color w:val="FFFFFF"/>
                <w:sz w:val="24"/>
                <w:szCs w:val="24"/>
              </w:rPr>
              <w:t>CARE-GNN Macro-F1</w:t>
            </w:r>
          </w:p>
        </w:tc>
        <w:tc>
          <w:tcPr>
            <w:tcW w:w="2016" w:type="dxa"/>
          </w:tcPr>
          <w:p w14:paraId="71B3F775"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b/>
                <w:color w:val="FFFFFF"/>
                <w:sz w:val="24"/>
                <w:szCs w:val="24"/>
              </w:rPr>
              <w:t>GHRN Macro-F1</w:t>
            </w:r>
          </w:p>
        </w:tc>
        <w:tc>
          <w:tcPr>
            <w:tcW w:w="1944" w:type="dxa"/>
          </w:tcPr>
          <w:p w14:paraId="202945F5"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b/>
                <w:color w:val="FFFFFF"/>
                <w:sz w:val="24"/>
                <w:szCs w:val="24"/>
              </w:rPr>
              <w:t>CARE-GNN recall</w:t>
            </w:r>
          </w:p>
        </w:tc>
        <w:tc>
          <w:tcPr>
            <w:tcW w:w="1944" w:type="dxa"/>
          </w:tcPr>
          <w:p w14:paraId="6A6D849E"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b/>
                <w:color w:val="FFFFFF"/>
                <w:sz w:val="24"/>
                <w:szCs w:val="24"/>
              </w:rPr>
              <w:t>GHRN recall</w:t>
            </w:r>
          </w:p>
        </w:tc>
      </w:tr>
      <w:tr w:rsidR="0083369C" w:rsidRPr="0066692C" w14:paraId="13FEAC31" w14:textId="77777777">
        <w:trPr>
          <w:jc w:val="center"/>
        </w:trPr>
        <w:tc>
          <w:tcPr>
            <w:tcW w:w="1584" w:type="dxa"/>
          </w:tcPr>
          <w:p w14:paraId="4F47C61C"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YelpChi</w:t>
            </w:r>
          </w:p>
        </w:tc>
        <w:tc>
          <w:tcPr>
            <w:tcW w:w="2016" w:type="dxa"/>
          </w:tcPr>
          <w:p w14:paraId="0F87F5BE"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0.7026 ± 0.0046</w:t>
            </w:r>
          </w:p>
        </w:tc>
        <w:tc>
          <w:tcPr>
            <w:tcW w:w="2016" w:type="dxa"/>
          </w:tcPr>
          <w:p w14:paraId="6DEB3E21"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0.7119 ± 0.0080</w:t>
            </w:r>
          </w:p>
        </w:tc>
        <w:tc>
          <w:tcPr>
            <w:tcW w:w="1944" w:type="dxa"/>
          </w:tcPr>
          <w:p w14:paraId="74BB7C75"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0.4731 ± 0.0236</w:t>
            </w:r>
          </w:p>
        </w:tc>
        <w:tc>
          <w:tcPr>
            <w:tcW w:w="1944" w:type="dxa"/>
          </w:tcPr>
          <w:p w14:paraId="57A29A1A"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0.4876 ± 0.0433</w:t>
            </w:r>
          </w:p>
        </w:tc>
      </w:tr>
      <w:tr w:rsidR="0083369C" w:rsidRPr="0066692C" w14:paraId="25279DE0" w14:textId="77777777">
        <w:trPr>
          <w:jc w:val="center"/>
        </w:trPr>
        <w:tc>
          <w:tcPr>
            <w:tcW w:w="1584" w:type="dxa"/>
          </w:tcPr>
          <w:p w14:paraId="2C2097FD"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Amazon</w:t>
            </w:r>
          </w:p>
        </w:tc>
        <w:tc>
          <w:tcPr>
            <w:tcW w:w="2016" w:type="dxa"/>
          </w:tcPr>
          <w:p w14:paraId="7973839F"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0.8335 ± 0.1255</w:t>
            </w:r>
          </w:p>
        </w:tc>
        <w:tc>
          <w:tcPr>
            <w:tcW w:w="2016" w:type="dxa"/>
          </w:tcPr>
          <w:p w14:paraId="5F8D6C3C"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0.9229 ± 0.0054</w:t>
            </w:r>
          </w:p>
        </w:tc>
        <w:tc>
          <w:tcPr>
            <w:tcW w:w="1944" w:type="dxa"/>
          </w:tcPr>
          <w:p w14:paraId="4F7E3534"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0.6099 ± 0.2939</w:t>
            </w:r>
          </w:p>
        </w:tc>
        <w:tc>
          <w:tcPr>
            <w:tcW w:w="1944" w:type="dxa"/>
          </w:tcPr>
          <w:p w14:paraId="37CBEBF3"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0.8136 ± 0.0137</w:t>
            </w:r>
          </w:p>
        </w:tc>
      </w:tr>
      <w:tr w:rsidR="0083369C" w:rsidRPr="0066692C" w14:paraId="0375DB50" w14:textId="77777777">
        <w:trPr>
          <w:jc w:val="center"/>
        </w:trPr>
        <w:tc>
          <w:tcPr>
            <w:tcW w:w="1584" w:type="dxa"/>
          </w:tcPr>
          <w:p w14:paraId="7BE0509F"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T-Finance</w:t>
            </w:r>
          </w:p>
        </w:tc>
        <w:tc>
          <w:tcPr>
            <w:tcW w:w="2016" w:type="dxa"/>
          </w:tcPr>
          <w:p w14:paraId="6781D114"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0.7786 ± 0.0866</w:t>
            </w:r>
          </w:p>
        </w:tc>
        <w:tc>
          <w:tcPr>
            <w:tcW w:w="2016" w:type="dxa"/>
          </w:tcPr>
          <w:p w14:paraId="7A3EED10"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0.8418 ± 0.0538</w:t>
            </w:r>
          </w:p>
        </w:tc>
        <w:tc>
          <w:tcPr>
            <w:tcW w:w="1944" w:type="dxa"/>
          </w:tcPr>
          <w:p w14:paraId="5B19883B"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0.4212 ± 0.1665</w:t>
            </w:r>
          </w:p>
        </w:tc>
        <w:tc>
          <w:tcPr>
            <w:tcW w:w="1944" w:type="dxa"/>
          </w:tcPr>
          <w:p w14:paraId="7D8C1E5D"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0.6778 ± 0.0923</w:t>
            </w:r>
          </w:p>
        </w:tc>
      </w:tr>
      <w:tr w:rsidR="0083369C" w:rsidRPr="0066692C" w14:paraId="3C314EBC" w14:textId="77777777">
        <w:trPr>
          <w:jc w:val="center"/>
        </w:trPr>
        <w:tc>
          <w:tcPr>
            <w:tcW w:w="1584" w:type="dxa"/>
          </w:tcPr>
          <w:p w14:paraId="5B6B338C"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T-Social</w:t>
            </w:r>
          </w:p>
        </w:tc>
        <w:tc>
          <w:tcPr>
            <w:tcW w:w="2016" w:type="dxa"/>
          </w:tcPr>
          <w:p w14:paraId="3AA5777F"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[FAILED]</w:t>
            </w:r>
          </w:p>
        </w:tc>
        <w:tc>
          <w:tcPr>
            <w:tcW w:w="2016" w:type="dxa"/>
          </w:tcPr>
          <w:p w14:paraId="78E623B7"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[FAILED]</w:t>
            </w:r>
          </w:p>
        </w:tc>
        <w:tc>
          <w:tcPr>
            <w:tcW w:w="1944" w:type="dxa"/>
          </w:tcPr>
          <w:p w14:paraId="2FF528DB"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[FAILED]</w:t>
            </w:r>
          </w:p>
        </w:tc>
        <w:tc>
          <w:tcPr>
            <w:tcW w:w="1944" w:type="dxa"/>
          </w:tcPr>
          <w:p w14:paraId="6B2D1952"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[FAILED]</w:t>
            </w:r>
          </w:p>
        </w:tc>
      </w:tr>
      <w:tr w:rsidR="0083369C" w:rsidRPr="0066692C" w14:paraId="27FF5359" w14:textId="77777777">
        <w:trPr>
          <w:jc w:val="center"/>
        </w:trPr>
        <w:tc>
          <w:tcPr>
            <w:tcW w:w="1584" w:type="dxa"/>
          </w:tcPr>
          <w:p w14:paraId="4AA64429"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Elliptic</w:t>
            </w:r>
          </w:p>
        </w:tc>
        <w:tc>
          <w:tcPr>
            <w:tcW w:w="2016" w:type="dxa"/>
          </w:tcPr>
          <w:p w14:paraId="6791A5C5"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0.7491 ± 0.0433</w:t>
            </w:r>
          </w:p>
        </w:tc>
        <w:tc>
          <w:tcPr>
            <w:tcW w:w="2016" w:type="dxa"/>
          </w:tcPr>
          <w:p w14:paraId="59915E57"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0.7284 ± 0.0191</w:t>
            </w:r>
          </w:p>
        </w:tc>
        <w:tc>
          <w:tcPr>
            <w:tcW w:w="1944" w:type="dxa"/>
          </w:tcPr>
          <w:p w14:paraId="38DD1F66"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0.6916 ± 0.0392</w:t>
            </w:r>
          </w:p>
        </w:tc>
        <w:tc>
          <w:tcPr>
            <w:tcW w:w="1944" w:type="dxa"/>
          </w:tcPr>
          <w:p w14:paraId="160A6632"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0.7436 ± 0.0185</w:t>
            </w:r>
          </w:p>
        </w:tc>
      </w:tr>
      <w:tr w:rsidR="0083369C" w:rsidRPr="0066692C" w14:paraId="29FAE7F6" w14:textId="77777777">
        <w:trPr>
          <w:jc w:val="center"/>
        </w:trPr>
        <w:tc>
          <w:tcPr>
            <w:tcW w:w="1584" w:type="dxa"/>
          </w:tcPr>
          <w:p w14:paraId="092D463E"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FDCompCN</w:t>
            </w:r>
          </w:p>
        </w:tc>
        <w:tc>
          <w:tcPr>
            <w:tcW w:w="2016" w:type="dxa"/>
          </w:tcPr>
          <w:p w14:paraId="28EC61E3"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0.5171 ± 0.0080</w:t>
            </w:r>
          </w:p>
        </w:tc>
        <w:tc>
          <w:tcPr>
            <w:tcW w:w="2016" w:type="dxa"/>
          </w:tcPr>
          <w:p w14:paraId="0F73FF22"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0.5030 ± 0.0060</w:t>
            </w:r>
          </w:p>
        </w:tc>
        <w:tc>
          <w:tcPr>
            <w:tcW w:w="1944" w:type="dxa"/>
          </w:tcPr>
          <w:p w14:paraId="700F81A2"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0.1390 ± 0.0237</w:t>
            </w:r>
          </w:p>
        </w:tc>
        <w:tc>
          <w:tcPr>
            <w:tcW w:w="1944" w:type="dxa"/>
          </w:tcPr>
          <w:p w14:paraId="1DED0C3B"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0.0867 ± 0.0407</w:t>
            </w:r>
          </w:p>
        </w:tc>
      </w:tr>
    </w:tbl>
    <w:p w14:paraId="19A18882" w14:textId="77777777" w:rsidR="0083369C" w:rsidRPr="0066692C" w:rsidRDefault="00000000" w:rsidP="0066692C">
      <w:pPr>
        <w:spacing w:after="200" w:line="360" w:lineRule="auto"/>
        <w:jc w:val="both"/>
        <w:rPr>
          <w:rFonts w:ascii="Times New Roman" w:hAnsi="Times New Roman" w:cs="Times New Roman"/>
          <w:sz w:val="24"/>
          <w:szCs w:val="24"/>
        </w:rPr>
      </w:pPr>
      <w:r w:rsidRPr="0066692C">
        <w:rPr>
          <w:rFonts w:ascii="Times New Roman" w:hAnsi="Times New Roman" w:cs="Times New Roman"/>
          <w:i/>
          <w:sz w:val="24"/>
          <w:szCs w:val="24"/>
        </w:rPr>
        <w:t>Table 4. Macro-F1 and fraud recall.</w:t>
      </w:r>
    </w:p>
    <w:p w14:paraId="18B128FE" w14:textId="3A4804CE"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AUPRC is the primary concern since fraud occurs infrequently and average precision is better than AUROC to reflect detection quality in imbalanced data. GHRN wins AUPRC in all three datasets. CARE-GNN wins T-Finance and FDCompCN. GHRN tends to take more recall, while CARE-GNN takes more precision. In the case of T-Finance, CARE-GNN takes more precision, and GHRN takes less recall. FDCompCN is similar. GHRN has an operating point more favorable to fraud detection. Since a fraudulent node is not detected more frequently than a reviewer drawing a positive class, detecting fraud is beneficial.</w:t>
      </w:r>
    </w:p>
    <w:p w14:paraId="5F7E5916"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lastRenderedPageBreak/>
        <w:t>Three seeds per cell provides enough variation to show instability in the results, but not enough to rank the models. Only in the case of Amazon, does the margin clearly surpass the seed difference. Per section 4 of the thesis, the margin is a reliability effect. Therefore, for T-Finance, the standard deviation of GHRN of 0.2060 surpasses the difference in means, and hence, with respect to seeds, the outcome is unstable, and neither model should be ranked.</w:t>
      </w:r>
    </w:p>
    <w:p w14:paraId="0D2C7F68" w14:textId="77777777" w:rsidR="0083369C" w:rsidRPr="0066692C" w:rsidRDefault="00000000" w:rsidP="0066692C">
      <w:pPr>
        <w:pStyle w:val="Heading1"/>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4. Training Reliability</w:t>
      </w:r>
    </w:p>
    <w:tbl>
      <w:tblPr>
        <w:tblStyle w:val="TableGrid"/>
        <w:tblW w:w="0" w:type="auto"/>
        <w:jc w:val="center"/>
        <w:tblLook w:val="04A0" w:firstRow="1" w:lastRow="0" w:firstColumn="1" w:lastColumn="0" w:noHBand="0" w:noVBand="1"/>
      </w:tblPr>
      <w:tblGrid>
        <w:gridCol w:w="1584"/>
        <w:gridCol w:w="1440"/>
        <w:gridCol w:w="864"/>
        <w:gridCol w:w="1296"/>
        <w:gridCol w:w="1440"/>
        <w:gridCol w:w="1296"/>
        <w:gridCol w:w="1440"/>
      </w:tblGrid>
      <w:tr w:rsidR="0083369C" w:rsidRPr="0066692C" w14:paraId="1CA403DE" w14:textId="77777777">
        <w:trPr>
          <w:jc w:val="center"/>
        </w:trPr>
        <w:tc>
          <w:tcPr>
            <w:tcW w:w="1584" w:type="dxa"/>
          </w:tcPr>
          <w:p w14:paraId="7F206729"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b/>
                <w:color w:val="FFFFFF"/>
                <w:sz w:val="24"/>
                <w:szCs w:val="24"/>
              </w:rPr>
              <w:t>Model</w:t>
            </w:r>
          </w:p>
        </w:tc>
        <w:tc>
          <w:tcPr>
            <w:tcW w:w="1440" w:type="dxa"/>
          </w:tcPr>
          <w:p w14:paraId="19227A72"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b/>
                <w:color w:val="FFFFFF"/>
                <w:sz w:val="24"/>
                <w:szCs w:val="24"/>
              </w:rPr>
              <w:t>Dataset</w:t>
            </w:r>
          </w:p>
        </w:tc>
        <w:tc>
          <w:tcPr>
            <w:tcW w:w="864" w:type="dxa"/>
          </w:tcPr>
          <w:p w14:paraId="5AC02647"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b/>
                <w:color w:val="FFFFFF"/>
                <w:sz w:val="24"/>
                <w:szCs w:val="24"/>
              </w:rPr>
              <w:t>Seed</w:t>
            </w:r>
          </w:p>
        </w:tc>
        <w:tc>
          <w:tcPr>
            <w:tcW w:w="1296" w:type="dxa"/>
          </w:tcPr>
          <w:p w14:paraId="18895AD8"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b/>
                <w:color w:val="FFFFFF"/>
                <w:sz w:val="24"/>
                <w:szCs w:val="24"/>
              </w:rPr>
              <w:t>AUPRC</w:t>
            </w:r>
          </w:p>
        </w:tc>
        <w:tc>
          <w:tcPr>
            <w:tcW w:w="1440" w:type="dxa"/>
          </w:tcPr>
          <w:p w14:paraId="686EDD45"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b/>
                <w:color w:val="FFFFFF"/>
                <w:sz w:val="24"/>
                <w:szCs w:val="24"/>
              </w:rPr>
              <w:t>Best epoch</w:t>
            </w:r>
          </w:p>
        </w:tc>
        <w:tc>
          <w:tcPr>
            <w:tcW w:w="1296" w:type="dxa"/>
          </w:tcPr>
          <w:p w14:paraId="002B80E1"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b/>
                <w:color w:val="FFFFFF"/>
                <w:sz w:val="24"/>
                <w:szCs w:val="24"/>
              </w:rPr>
              <w:t>Recall</w:t>
            </w:r>
          </w:p>
        </w:tc>
        <w:tc>
          <w:tcPr>
            <w:tcW w:w="1440" w:type="dxa"/>
          </w:tcPr>
          <w:p w14:paraId="1FFBDEEE"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b/>
                <w:color w:val="FFFFFF"/>
                <w:sz w:val="24"/>
                <w:szCs w:val="24"/>
              </w:rPr>
              <w:t>Precision</w:t>
            </w:r>
          </w:p>
        </w:tc>
      </w:tr>
      <w:tr w:rsidR="0083369C" w:rsidRPr="0066692C" w14:paraId="765889CC" w14:textId="77777777">
        <w:trPr>
          <w:jc w:val="center"/>
        </w:trPr>
        <w:tc>
          <w:tcPr>
            <w:tcW w:w="1584" w:type="dxa"/>
          </w:tcPr>
          <w:p w14:paraId="5B350E60"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CARE-GNN</w:t>
            </w:r>
          </w:p>
        </w:tc>
        <w:tc>
          <w:tcPr>
            <w:tcW w:w="1440" w:type="dxa"/>
          </w:tcPr>
          <w:p w14:paraId="1D755198"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Amazon</w:t>
            </w:r>
          </w:p>
        </w:tc>
        <w:tc>
          <w:tcPr>
            <w:tcW w:w="864" w:type="dxa"/>
          </w:tcPr>
          <w:p w14:paraId="38C7EA18"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72</w:t>
            </w:r>
          </w:p>
        </w:tc>
        <w:tc>
          <w:tcPr>
            <w:tcW w:w="1296" w:type="dxa"/>
          </w:tcPr>
          <w:p w14:paraId="686C6532"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0.4476</w:t>
            </w:r>
          </w:p>
        </w:tc>
        <w:tc>
          <w:tcPr>
            <w:tcW w:w="1440" w:type="dxa"/>
          </w:tcPr>
          <w:p w14:paraId="21731E23"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2</w:t>
            </w:r>
          </w:p>
        </w:tc>
        <w:tc>
          <w:tcPr>
            <w:tcW w:w="1296" w:type="dxa"/>
          </w:tcPr>
          <w:p w14:paraId="5857D890"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0.2705</w:t>
            </w:r>
          </w:p>
        </w:tc>
        <w:tc>
          <w:tcPr>
            <w:tcW w:w="1440" w:type="dxa"/>
          </w:tcPr>
          <w:p w14:paraId="3D1C00D4"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0.899</w:t>
            </w:r>
          </w:p>
        </w:tc>
      </w:tr>
      <w:tr w:rsidR="0083369C" w:rsidRPr="0066692C" w14:paraId="215B4753" w14:textId="77777777">
        <w:trPr>
          <w:jc w:val="center"/>
        </w:trPr>
        <w:tc>
          <w:tcPr>
            <w:tcW w:w="1584" w:type="dxa"/>
          </w:tcPr>
          <w:p w14:paraId="3DAB4D92"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CARE-GNN</w:t>
            </w:r>
          </w:p>
        </w:tc>
        <w:tc>
          <w:tcPr>
            <w:tcW w:w="1440" w:type="dxa"/>
          </w:tcPr>
          <w:p w14:paraId="6FCBBA9E"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T-Finance</w:t>
            </w:r>
          </w:p>
        </w:tc>
        <w:tc>
          <w:tcPr>
            <w:tcW w:w="864" w:type="dxa"/>
          </w:tcPr>
          <w:p w14:paraId="75C344C5"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42</w:t>
            </w:r>
          </w:p>
        </w:tc>
        <w:tc>
          <w:tcPr>
            <w:tcW w:w="1296" w:type="dxa"/>
          </w:tcPr>
          <w:p w14:paraId="5F321FB1"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0.6655</w:t>
            </w:r>
          </w:p>
        </w:tc>
        <w:tc>
          <w:tcPr>
            <w:tcW w:w="1440" w:type="dxa"/>
          </w:tcPr>
          <w:p w14:paraId="20F6B952"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1</w:t>
            </w:r>
          </w:p>
        </w:tc>
        <w:tc>
          <w:tcPr>
            <w:tcW w:w="1296" w:type="dxa"/>
          </w:tcPr>
          <w:p w14:paraId="34304778"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0.233</w:t>
            </w:r>
          </w:p>
        </w:tc>
        <w:tc>
          <w:tcPr>
            <w:tcW w:w="1440" w:type="dxa"/>
          </w:tcPr>
          <w:p w14:paraId="3B32A7C7"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0.9941</w:t>
            </w:r>
          </w:p>
        </w:tc>
      </w:tr>
      <w:tr w:rsidR="0083369C" w:rsidRPr="0066692C" w14:paraId="4E41F078" w14:textId="77777777">
        <w:trPr>
          <w:jc w:val="center"/>
        </w:trPr>
        <w:tc>
          <w:tcPr>
            <w:tcW w:w="1584" w:type="dxa"/>
          </w:tcPr>
          <w:p w14:paraId="45CC0050"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CARE-GNN</w:t>
            </w:r>
          </w:p>
        </w:tc>
        <w:tc>
          <w:tcPr>
            <w:tcW w:w="1440" w:type="dxa"/>
          </w:tcPr>
          <w:p w14:paraId="3E34C9A4"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T-Finance</w:t>
            </w:r>
          </w:p>
        </w:tc>
        <w:tc>
          <w:tcPr>
            <w:tcW w:w="864" w:type="dxa"/>
          </w:tcPr>
          <w:p w14:paraId="0A28647C"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72</w:t>
            </w:r>
          </w:p>
        </w:tc>
        <w:tc>
          <w:tcPr>
            <w:tcW w:w="1296" w:type="dxa"/>
          </w:tcPr>
          <w:p w14:paraId="4AA39C99"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0.7345</w:t>
            </w:r>
          </w:p>
        </w:tc>
        <w:tc>
          <w:tcPr>
            <w:tcW w:w="1440" w:type="dxa"/>
          </w:tcPr>
          <w:p w14:paraId="01BB723A"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1</w:t>
            </w:r>
          </w:p>
        </w:tc>
        <w:tc>
          <w:tcPr>
            <w:tcW w:w="1296" w:type="dxa"/>
          </w:tcPr>
          <w:p w14:paraId="0F19C9FB"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0.4813</w:t>
            </w:r>
          </w:p>
        </w:tc>
        <w:tc>
          <w:tcPr>
            <w:tcW w:w="1440" w:type="dxa"/>
          </w:tcPr>
          <w:p w14:paraId="6B664A6C"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0.9666</w:t>
            </w:r>
          </w:p>
        </w:tc>
      </w:tr>
    </w:tbl>
    <w:p w14:paraId="52B30056" w14:textId="77777777" w:rsidR="0083369C" w:rsidRPr="0066692C" w:rsidRDefault="00000000" w:rsidP="0066692C">
      <w:pPr>
        <w:spacing w:after="200" w:line="360" w:lineRule="auto"/>
        <w:jc w:val="both"/>
        <w:rPr>
          <w:rFonts w:ascii="Times New Roman" w:hAnsi="Times New Roman" w:cs="Times New Roman"/>
          <w:sz w:val="24"/>
          <w:szCs w:val="24"/>
        </w:rPr>
      </w:pPr>
      <w:r w:rsidRPr="0066692C">
        <w:rPr>
          <w:rFonts w:ascii="Times New Roman" w:hAnsi="Times New Roman" w:cs="Times New Roman"/>
          <w:i/>
          <w:sz w:val="24"/>
          <w:szCs w:val="24"/>
        </w:rPr>
        <w:t>Table 5. All 3 collapsed runs. Every one is CARE-GNN; none of GHRN's 15 runs collapsed.</w:t>
      </w:r>
    </w:p>
    <w:p w14:paraId="3820CDCB" w14:textId="77777777" w:rsidR="0083369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The signature is consistent with very high precision, though with collapsed recall. Almost no examples were flagged. We explain this by considering the interaction between the positive Reinforcement Learning (RL) threshold module of CARE-GNN and per-epoch negative (class-balanced) under-sampling. It is possible that during negative under-sampling, an initializer could set the threshold module to a value that makes the neighbor selector reject the large majority of neighboring samples. In such a case, the classifier would be unable to learn a useful representation. GHRN does not utilize this type of mechanism. Collapsed runs of CARE-GNN are observable in all of the means and standard deviations reported herein. Hiding these runs would eliminate instability in the results and, thus, conceal what should be exposed in a benchmarking study.</w:t>
      </w:r>
    </w:p>
    <w:p w14:paraId="5F39D89B" w14:textId="77777777" w:rsidR="0066692C" w:rsidRDefault="0066692C" w:rsidP="0066692C">
      <w:pPr>
        <w:spacing w:line="360" w:lineRule="auto"/>
        <w:jc w:val="both"/>
        <w:rPr>
          <w:rFonts w:ascii="Times New Roman" w:hAnsi="Times New Roman" w:cs="Times New Roman"/>
          <w:sz w:val="24"/>
          <w:szCs w:val="24"/>
        </w:rPr>
      </w:pPr>
    </w:p>
    <w:p w14:paraId="74784EEC" w14:textId="77777777" w:rsidR="0066692C" w:rsidRPr="0066692C" w:rsidRDefault="0066692C" w:rsidP="0066692C">
      <w:pPr>
        <w:spacing w:line="360" w:lineRule="auto"/>
        <w:jc w:val="both"/>
        <w:rPr>
          <w:rFonts w:ascii="Times New Roman" w:hAnsi="Times New Roman" w:cs="Times New Roman"/>
          <w:sz w:val="24"/>
          <w:szCs w:val="24"/>
        </w:rPr>
      </w:pPr>
    </w:p>
    <w:p w14:paraId="5D83A376" w14:textId="77777777" w:rsidR="0083369C" w:rsidRPr="0066692C" w:rsidRDefault="00000000" w:rsidP="0066692C">
      <w:pPr>
        <w:pStyle w:val="Heading1"/>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5. What GHRN's Refinement Actually Contributes</w:t>
      </w:r>
    </w:p>
    <w:tbl>
      <w:tblPr>
        <w:tblStyle w:val="TableGrid"/>
        <w:tblW w:w="0" w:type="auto"/>
        <w:jc w:val="center"/>
        <w:tblLook w:val="04A0" w:firstRow="1" w:lastRow="0" w:firstColumn="1" w:lastColumn="0" w:noHBand="0" w:noVBand="1"/>
      </w:tblPr>
      <w:tblGrid>
        <w:gridCol w:w="1728"/>
        <w:gridCol w:w="2160"/>
        <w:gridCol w:w="2016"/>
        <w:gridCol w:w="1296"/>
        <w:gridCol w:w="1872"/>
      </w:tblGrid>
      <w:tr w:rsidR="0083369C" w:rsidRPr="0066692C" w14:paraId="1FB690D0" w14:textId="77777777">
        <w:trPr>
          <w:jc w:val="center"/>
        </w:trPr>
        <w:tc>
          <w:tcPr>
            <w:tcW w:w="1728" w:type="dxa"/>
          </w:tcPr>
          <w:p w14:paraId="5A64939F" w14:textId="77777777" w:rsidR="0083369C" w:rsidRPr="0066692C" w:rsidRDefault="00000000" w:rsidP="0066692C">
            <w:pPr>
              <w:spacing w:line="360" w:lineRule="auto"/>
              <w:jc w:val="both"/>
              <w:rPr>
                <w:rFonts w:ascii="Times New Roman" w:hAnsi="Times New Roman" w:cs="Times New Roman"/>
                <w:sz w:val="24"/>
                <w:szCs w:val="24"/>
              </w:rPr>
            </w:pPr>
            <w:proofErr w:type="spellStart"/>
            <w:r w:rsidRPr="0066692C">
              <w:rPr>
                <w:rFonts w:ascii="Times New Roman" w:hAnsi="Times New Roman" w:cs="Times New Roman"/>
                <w:sz w:val="24"/>
                <w:szCs w:val="24"/>
              </w:rPr>
              <w:t>YelpChi</w:t>
            </w:r>
            <w:proofErr w:type="spellEnd"/>
          </w:p>
        </w:tc>
        <w:tc>
          <w:tcPr>
            <w:tcW w:w="2160" w:type="dxa"/>
          </w:tcPr>
          <w:p w14:paraId="5F801DD1"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0.5122</w:t>
            </w:r>
          </w:p>
        </w:tc>
        <w:tc>
          <w:tcPr>
            <w:tcW w:w="2016" w:type="dxa"/>
          </w:tcPr>
          <w:p w14:paraId="5104B9B6"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0.5246</w:t>
            </w:r>
          </w:p>
        </w:tc>
        <w:tc>
          <w:tcPr>
            <w:tcW w:w="1296" w:type="dxa"/>
          </w:tcPr>
          <w:p w14:paraId="3D554C57"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+0.0124</w:t>
            </w:r>
          </w:p>
        </w:tc>
        <w:tc>
          <w:tcPr>
            <w:tcW w:w="1872" w:type="dxa"/>
          </w:tcPr>
          <w:p w14:paraId="0C5E7B8D"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3 of 3</w:t>
            </w:r>
          </w:p>
        </w:tc>
      </w:tr>
      <w:tr w:rsidR="0083369C" w:rsidRPr="0066692C" w14:paraId="42D5AFC2" w14:textId="77777777">
        <w:trPr>
          <w:jc w:val="center"/>
        </w:trPr>
        <w:tc>
          <w:tcPr>
            <w:tcW w:w="1728" w:type="dxa"/>
          </w:tcPr>
          <w:p w14:paraId="39DE4511"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Amazon</w:t>
            </w:r>
          </w:p>
        </w:tc>
        <w:tc>
          <w:tcPr>
            <w:tcW w:w="2160" w:type="dxa"/>
          </w:tcPr>
          <w:p w14:paraId="1F0C7E49"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0.8769</w:t>
            </w:r>
          </w:p>
        </w:tc>
        <w:tc>
          <w:tcPr>
            <w:tcW w:w="2016" w:type="dxa"/>
          </w:tcPr>
          <w:p w14:paraId="3D557995"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0.8404</w:t>
            </w:r>
          </w:p>
        </w:tc>
        <w:tc>
          <w:tcPr>
            <w:tcW w:w="1296" w:type="dxa"/>
          </w:tcPr>
          <w:p w14:paraId="13261269"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-0.0365</w:t>
            </w:r>
          </w:p>
        </w:tc>
        <w:tc>
          <w:tcPr>
            <w:tcW w:w="1872" w:type="dxa"/>
          </w:tcPr>
          <w:p w14:paraId="369D1259"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 of 3</w:t>
            </w:r>
          </w:p>
        </w:tc>
      </w:tr>
      <w:tr w:rsidR="0083369C" w:rsidRPr="0066692C" w14:paraId="3CD40AF7" w14:textId="77777777">
        <w:trPr>
          <w:jc w:val="center"/>
        </w:trPr>
        <w:tc>
          <w:tcPr>
            <w:tcW w:w="1728" w:type="dxa"/>
          </w:tcPr>
          <w:p w14:paraId="1AC46DA3"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T-Finance</w:t>
            </w:r>
          </w:p>
        </w:tc>
        <w:tc>
          <w:tcPr>
            <w:tcW w:w="2160" w:type="dxa"/>
          </w:tcPr>
          <w:p w14:paraId="7CAEB69D"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0.8541</w:t>
            </w:r>
          </w:p>
        </w:tc>
        <w:tc>
          <w:tcPr>
            <w:tcW w:w="2016" w:type="dxa"/>
          </w:tcPr>
          <w:p w14:paraId="55A0B246"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0.6877</w:t>
            </w:r>
          </w:p>
        </w:tc>
        <w:tc>
          <w:tcPr>
            <w:tcW w:w="1296" w:type="dxa"/>
          </w:tcPr>
          <w:p w14:paraId="10E41068"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-0.1664</w:t>
            </w:r>
          </w:p>
        </w:tc>
        <w:tc>
          <w:tcPr>
            <w:tcW w:w="1872" w:type="dxa"/>
          </w:tcPr>
          <w:p w14:paraId="18562B9E"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1 of 3</w:t>
            </w:r>
          </w:p>
        </w:tc>
      </w:tr>
      <w:tr w:rsidR="0083369C" w:rsidRPr="0066692C" w14:paraId="73CEFBD9" w14:textId="77777777">
        <w:trPr>
          <w:jc w:val="center"/>
        </w:trPr>
        <w:tc>
          <w:tcPr>
            <w:tcW w:w="1728" w:type="dxa"/>
          </w:tcPr>
          <w:p w14:paraId="2DB572E8"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Elliptic</w:t>
            </w:r>
          </w:p>
        </w:tc>
        <w:tc>
          <w:tcPr>
            <w:tcW w:w="2160" w:type="dxa"/>
          </w:tcPr>
          <w:p w14:paraId="25060B92"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0.6989</w:t>
            </w:r>
          </w:p>
        </w:tc>
        <w:tc>
          <w:tcPr>
            <w:tcW w:w="2016" w:type="dxa"/>
          </w:tcPr>
          <w:p w14:paraId="73F698FB"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0.7149</w:t>
            </w:r>
          </w:p>
        </w:tc>
        <w:tc>
          <w:tcPr>
            <w:tcW w:w="1296" w:type="dxa"/>
          </w:tcPr>
          <w:p w14:paraId="5657D72F"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+0.0160</w:t>
            </w:r>
          </w:p>
        </w:tc>
        <w:tc>
          <w:tcPr>
            <w:tcW w:w="1872" w:type="dxa"/>
          </w:tcPr>
          <w:p w14:paraId="02E7059D"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2 of 3</w:t>
            </w:r>
          </w:p>
        </w:tc>
      </w:tr>
      <w:tr w:rsidR="0083369C" w:rsidRPr="0066692C" w14:paraId="0A65FE0B" w14:textId="77777777">
        <w:trPr>
          <w:jc w:val="center"/>
        </w:trPr>
        <w:tc>
          <w:tcPr>
            <w:tcW w:w="1728" w:type="dxa"/>
          </w:tcPr>
          <w:p w14:paraId="66A0AD4B"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lastRenderedPageBreak/>
              <w:t>FDCompCN</w:t>
            </w:r>
          </w:p>
        </w:tc>
        <w:tc>
          <w:tcPr>
            <w:tcW w:w="2160" w:type="dxa"/>
          </w:tcPr>
          <w:p w14:paraId="3D24F196"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0.1729</w:t>
            </w:r>
          </w:p>
        </w:tc>
        <w:tc>
          <w:tcPr>
            <w:tcW w:w="2016" w:type="dxa"/>
          </w:tcPr>
          <w:p w14:paraId="4D54CB14"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0.2126</w:t>
            </w:r>
          </w:p>
        </w:tc>
        <w:tc>
          <w:tcPr>
            <w:tcW w:w="1296" w:type="dxa"/>
          </w:tcPr>
          <w:p w14:paraId="48FF91F6"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+0.0397</w:t>
            </w:r>
          </w:p>
        </w:tc>
        <w:tc>
          <w:tcPr>
            <w:tcW w:w="1872" w:type="dxa"/>
          </w:tcPr>
          <w:p w14:paraId="0F8F6017"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3 of 3</w:t>
            </w:r>
          </w:p>
        </w:tc>
      </w:tr>
    </w:tbl>
    <w:p w14:paraId="05CF9B81" w14:textId="77777777" w:rsidR="0083369C" w:rsidRPr="0066692C" w:rsidRDefault="00000000" w:rsidP="0066692C">
      <w:pPr>
        <w:spacing w:after="200" w:line="360" w:lineRule="auto"/>
        <w:jc w:val="both"/>
        <w:rPr>
          <w:rFonts w:ascii="Times New Roman" w:hAnsi="Times New Roman" w:cs="Times New Roman"/>
          <w:sz w:val="24"/>
          <w:szCs w:val="24"/>
        </w:rPr>
      </w:pPr>
      <w:r w:rsidRPr="0066692C">
        <w:rPr>
          <w:rFonts w:ascii="Times New Roman" w:hAnsi="Times New Roman" w:cs="Times New Roman"/>
          <w:i/>
          <w:sz w:val="24"/>
          <w:szCs w:val="24"/>
        </w:rPr>
        <w:t>Table 6. Refinement ablation on validation AUPRC. Nothing here touches the test set.</w:t>
      </w:r>
    </w:p>
    <w:p w14:paraId="32482BAC" w14:textId="467896B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GHRN has a two-stage training process. The predictions from the first stage are used to prune edges in the graph, and the second stage is then trained on the pruned graph. The best way to evaluate GHRN is to compare the two stages of training. During comparison, GHRN shows what kind of edge heterophily it captures. It was 0.013280 and 0.007364 lower in YelpChi and Elliptic, respectively. It was 0.001374 in T-Finance. It was also worse in Amazon and FDCompCN. If edge pruning could not find inter-class edges during the process, it removes around 1.5-3% of edges in the graph. This results in a negative impact and introduces more noise in the graph.</w:t>
      </w:r>
    </w:p>
    <w:p w14:paraId="15C04638"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Also, during the process, there was a deviation in the protocol. The 15 runs where the second stage of training was done, included the 6 runs where the first stage was refined and showed better results (against the protocol) in T-Finance. According to the protocol, both the stages of training are refined. The results are from the originals runs and are not changed. Changes have been made in the code and new runs are pending.</w:t>
      </w:r>
    </w:p>
    <w:p w14:paraId="0C5298EE" w14:textId="77777777" w:rsidR="0083369C" w:rsidRPr="0066692C" w:rsidRDefault="00000000" w:rsidP="0066692C">
      <w:pPr>
        <w:pStyle w:val="Heading1"/>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6. Efficiency and Graph Characteristics</w:t>
      </w:r>
    </w:p>
    <w:p w14:paraId="57C199FB"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noProof/>
          <w:sz w:val="24"/>
          <w:szCs w:val="24"/>
        </w:rPr>
        <w:drawing>
          <wp:inline distT="0" distB="0" distL="0" distR="0" wp14:anchorId="144558F3" wp14:editId="43721C1F">
            <wp:extent cx="5394960" cy="3289610"/>
            <wp:effectExtent l="0" t="0" r="0" b="0"/>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 cstate="print"/>
                    <a:srcRect/>
                    <a:stretch/>
                  </pic:blipFill>
                  <pic:spPr>
                    <a:xfrm>
                      <a:off x="0" y="0"/>
                      <a:ext cx="5394960" cy="3289610"/>
                    </a:xfrm>
                    <a:prstGeom prst="rect">
                      <a:avLst/>
                    </a:prstGeom>
                  </pic:spPr>
                </pic:pic>
              </a:graphicData>
            </a:graphic>
          </wp:inline>
        </w:drawing>
      </w:r>
    </w:p>
    <w:p w14:paraId="393D22E0" w14:textId="77777777" w:rsidR="0083369C" w:rsidRPr="0066692C" w:rsidRDefault="00000000" w:rsidP="0066692C">
      <w:pPr>
        <w:spacing w:after="200" w:line="360" w:lineRule="auto"/>
        <w:jc w:val="both"/>
        <w:rPr>
          <w:rFonts w:ascii="Times New Roman" w:hAnsi="Times New Roman" w:cs="Times New Roman"/>
          <w:sz w:val="24"/>
          <w:szCs w:val="24"/>
        </w:rPr>
      </w:pPr>
      <w:r w:rsidRPr="0066692C">
        <w:rPr>
          <w:rFonts w:ascii="Times New Roman" w:hAnsi="Times New Roman" w:cs="Times New Roman"/>
          <w:i/>
          <w:sz w:val="24"/>
          <w:szCs w:val="24"/>
        </w:rPr>
        <w:t>Figure 1. Per-epoch time against peak GPU memory, both axes logarithmic. The two models occupy opposite corners on every dataset.</w:t>
      </w:r>
    </w:p>
    <w:p w14:paraId="796FCC67"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lastRenderedPageBreak/>
        <w:t>GHRN takes 0.013-0.028 s per epoch on the A6000 compared to 0.710-7.636 s by CARE-GNN. This difference makes GHRN, on average, 49 to 382 times faster than CARE-GNN. GHRN utilizes more memory for each computation (48.6 to 1,184.2 MB) compared to CARE-GNN (30.8 to 276.7 MB). However, it should be noted that the cost of GHRN is dominated by the beta-wavelet filter bank, which requires significant memory. CARE-GNN has a lower cost component dominated by the implementation of node neighbor filtering in Python. Therefore, CARE-GNN is more appropriate when memory is not a constraint. In this work, we focus on the wall-clock time and memory usage for each method. We do not compare the two methods using the same data set.</w:t>
      </w:r>
    </w:p>
    <w:tbl>
      <w:tblPr>
        <w:tblStyle w:val="TableGrid"/>
        <w:tblW w:w="0" w:type="auto"/>
        <w:jc w:val="center"/>
        <w:tblLook w:val="04A0" w:firstRow="1" w:lastRow="0" w:firstColumn="1" w:lastColumn="0" w:noHBand="0" w:noVBand="1"/>
      </w:tblPr>
      <w:tblGrid>
        <w:gridCol w:w="1728"/>
        <w:gridCol w:w="2160"/>
        <w:gridCol w:w="2016"/>
        <w:gridCol w:w="2160"/>
        <w:gridCol w:w="1584"/>
      </w:tblGrid>
      <w:tr w:rsidR="0083369C" w:rsidRPr="0066692C" w14:paraId="5EF3B547" w14:textId="77777777">
        <w:trPr>
          <w:jc w:val="center"/>
        </w:trPr>
        <w:tc>
          <w:tcPr>
            <w:tcW w:w="1728" w:type="dxa"/>
          </w:tcPr>
          <w:p w14:paraId="6F24C0B7" w14:textId="77777777" w:rsidR="0083369C" w:rsidRPr="0066692C" w:rsidRDefault="00000000" w:rsidP="0066692C">
            <w:pPr>
              <w:spacing w:line="360" w:lineRule="auto"/>
              <w:jc w:val="both"/>
              <w:rPr>
                <w:rFonts w:ascii="Times New Roman" w:hAnsi="Times New Roman" w:cs="Times New Roman"/>
                <w:sz w:val="24"/>
                <w:szCs w:val="24"/>
              </w:rPr>
            </w:pPr>
            <w:proofErr w:type="spellStart"/>
            <w:r w:rsidRPr="0066692C">
              <w:rPr>
                <w:rFonts w:ascii="Times New Roman" w:hAnsi="Times New Roman" w:cs="Times New Roman"/>
                <w:sz w:val="24"/>
                <w:szCs w:val="24"/>
              </w:rPr>
              <w:t>YelpChi</w:t>
            </w:r>
            <w:proofErr w:type="spellEnd"/>
          </w:p>
        </w:tc>
        <w:tc>
          <w:tcPr>
            <w:tcW w:w="2160" w:type="dxa"/>
          </w:tcPr>
          <w:p w14:paraId="70021022"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0.2270</w:t>
            </w:r>
          </w:p>
        </w:tc>
        <w:tc>
          <w:tcPr>
            <w:tcW w:w="2016" w:type="dxa"/>
          </w:tcPr>
          <w:p w14:paraId="1A31D8AC"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0.8053</w:t>
            </w:r>
          </w:p>
        </w:tc>
        <w:tc>
          <w:tcPr>
            <w:tcW w:w="2160" w:type="dxa"/>
          </w:tcPr>
          <w:p w14:paraId="0551FCC1"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7,693,958</w:t>
            </w:r>
          </w:p>
        </w:tc>
        <w:tc>
          <w:tcPr>
            <w:tcW w:w="1584" w:type="dxa"/>
          </w:tcPr>
          <w:p w14:paraId="355A296B"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14.53%</w:t>
            </w:r>
          </w:p>
        </w:tc>
      </w:tr>
      <w:tr w:rsidR="0083369C" w:rsidRPr="0066692C" w14:paraId="640F96CD" w14:textId="77777777">
        <w:trPr>
          <w:jc w:val="center"/>
        </w:trPr>
        <w:tc>
          <w:tcPr>
            <w:tcW w:w="1728" w:type="dxa"/>
          </w:tcPr>
          <w:p w14:paraId="467E429A"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Amazon</w:t>
            </w:r>
          </w:p>
        </w:tc>
        <w:tc>
          <w:tcPr>
            <w:tcW w:w="2160" w:type="dxa"/>
          </w:tcPr>
          <w:p w14:paraId="74CDF7AB"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0.0512</w:t>
            </w:r>
          </w:p>
        </w:tc>
        <w:tc>
          <w:tcPr>
            <w:tcW w:w="2016" w:type="dxa"/>
          </w:tcPr>
          <w:p w14:paraId="1CA34047"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0.8626</w:t>
            </w:r>
          </w:p>
        </w:tc>
        <w:tc>
          <w:tcPr>
            <w:tcW w:w="2160" w:type="dxa"/>
          </w:tcPr>
          <w:p w14:paraId="3DE59FA9"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6,598,582</w:t>
            </w:r>
          </w:p>
        </w:tc>
        <w:tc>
          <w:tcPr>
            <w:tcW w:w="1584" w:type="dxa"/>
          </w:tcPr>
          <w:p w14:paraId="2D2AF541"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9.52%</w:t>
            </w:r>
          </w:p>
        </w:tc>
      </w:tr>
      <w:tr w:rsidR="0083369C" w:rsidRPr="0066692C" w14:paraId="0A3F7BF6" w14:textId="77777777">
        <w:trPr>
          <w:jc w:val="center"/>
        </w:trPr>
        <w:tc>
          <w:tcPr>
            <w:tcW w:w="1728" w:type="dxa"/>
          </w:tcPr>
          <w:p w14:paraId="45192EA8"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T-Finance</w:t>
            </w:r>
          </w:p>
        </w:tc>
        <w:tc>
          <w:tcPr>
            <w:tcW w:w="2160" w:type="dxa"/>
          </w:tcPr>
          <w:p w14:paraId="721FCA5B"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0.0292</w:t>
            </w:r>
          </w:p>
        </w:tc>
        <w:tc>
          <w:tcPr>
            <w:tcW w:w="2016" w:type="dxa"/>
          </w:tcPr>
          <w:p w14:paraId="48A2F168"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0.4562</w:t>
            </w:r>
          </w:p>
        </w:tc>
        <w:tc>
          <w:tcPr>
            <w:tcW w:w="2160" w:type="dxa"/>
          </w:tcPr>
          <w:p w14:paraId="2E13EF6F"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42,445,086</w:t>
            </w:r>
          </w:p>
        </w:tc>
        <w:tc>
          <w:tcPr>
            <w:tcW w:w="1584" w:type="dxa"/>
          </w:tcPr>
          <w:p w14:paraId="4DD54832"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4.58%</w:t>
            </w:r>
          </w:p>
        </w:tc>
      </w:tr>
      <w:tr w:rsidR="0083369C" w:rsidRPr="0066692C" w14:paraId="1A2BDE64" w14:textId="77777777">
        <w:trPr>
          <w:jc w:val="center"/>
        </w:trPr>
        <w:tc>
          <w:tcPr>
            <w:tcW w:w="1728" w:type="dxa"/>
          </w:tcPr>
          <w:p w14:paraId="40833F05"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T-Social *</w:t>
            </w:r>
          </w:p>
        </w:tc>
        <w:tc>
          <w:tcPr>
            <w:tcW w:w="2160" w:type="dxa"/>
          </w:tcPr>
          <w:p w14:paraId="06157491"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0.3761</w:t>
            </w:r>
          </w:p>
        </w:tc>
        <w:tc>
          <w:tcPr>
            <w:tcW w:w="2016" w:type="dxa"/>
          </w:tcPr>
          <w:p w14:paraId="002598AD"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0.8260</w:t>
            </w:r>
          </w:p>
        </w:tc>
        <w:tc>
          <w:tcPr>
            <w:tcW w:w="2160" w:type="dxa"/>
          </w:tcPr>
          <w:p w14:paraId="3D5EC897"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146,211,016</w:t>
            </w:r>
          </w:p>
        </w:tc>
        <w:tc>
          <w:tcPr>
            <w:tcW w:w="1584" w:type="dxa"/>
          </w:tcPr>
          <w:p w14:paraId="784214FB"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3.02%</w:t>
            </w:r>
          </w:p>
        </w:tc>
      </w:tr>
      <w:tr w:rsidR="0083369C" w:rsidRPr="0066692C" w14:paraId="6AD3B7A4" w14:textId="77777777">
        <w:trPr>
          <w:jc w:val="center"/>
        </w:trPr>
        <w:tc>
          <w:tcPr>
            <w:tcW w:w="1728" w:type="dxa"/>
          </w:tcPr>
          <w:p w14:paraId="1FFF69E3"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Elliptic</w:t>
            </w:r>
          </w:p>
        </w:tc>
        <w:tc>
          <w:tcPr>
            <w:tcW w:w="2160" w:type="dxa"/>
          </w:tcPr>
          <w:p w14:paraId="248DEEDA"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0.0463</w:t>
            </w:r>
          </w:p>
        </w:tc>
        <w:tc>
          <w:tcPr>
            <w:tcW w:w="2016" w:type="dxa"/>
          </w:tcPr>
          <w:p w14:paraId="7410DC50"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0.4903</w:t>
            </w:r>
          </w:p>
        </w:tc>
        <w:tc>
          <w:tcPr>
            <w:tcW w:w="2160" w:type="dxa"/>
          </w:tcPr>
          <w:p w14:paraId="45E0CEF7"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73,248</w:t>
            </w:r>
          </w:p>
        </w:tc>
        <w:tc>
          <w:tcPr>
            <w:tcW w:w="1584" w:type="dxa"/>
          </w:tcPr>
          <w:p w14:paraId="5C70B4C4"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7.61%</w:t>
            </w:r>
          </w:p>
        </w:tc>
      </w:tr>
      <w:tr w:rsidR="0083369C" w:rsidRPr="0066692C" w14:paraId="19349C86" w14:textId="77777777">
        <w:trPr>
          <w:jc w:val="center"/>
        </w:trPr>
        <w:tc>
          <w:tcPr>
            <w:tcW w:w="1728" w:type="dxa"/>
          </w:tcPr>
          <w:p w14:paraId="5738F2C2"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FDCompCN</w:t>
            </w:r>
          </w:p>
        </w:tc>
        <w:tc>
          <w:tcPr>
            <w:tcW w:w="2160" w:type="dxa"/>
          </w:tcPr>
          <w:p w14:paraId="3EC5D0C5"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0.1450</w:t>
            </w:r>
          </w:p>
        </w:tc>
        <w:tc>
          <w:tcPr>
            <w:tcW w:w="2016" w:type="dxa"/>
          </w:tcPr>
          <w:p w14:paraId="45E6FCAB"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0.8617</w:t>
            </w:r>
          </w:p>
        </w:tc>
        <w:tc>
          <w:tcPr>
            <w:tcW w:w="2160" w:type="dxa"/>
          </w:tcPr>
          <w:p w14:paraId="49780390"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7,268</w:t>
            </w:r>
          </w:p>
        </w:tc>
        <w:tc>
          <w:tcPr>
            <w:tcW w:w="1584" w:type="dxa"/>
          </w:tcPr>
          <w:p w14:paraId="1C2D842E"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10.48%</w:t>
            </w:r>
          </w:p>
        </w:tc>
      </w:tr>
    </w:tbl>
    <w:p w14:paraId="126582EB" w14:textId="77777777" w:rsidR="0083369C" w:rsidRPr="0066692C" w:rsidRDefault="00000000" w:rsidP="0066692C">
      <w:pPr>
        <w:spacing w:after="200" w:line="360" w:lineRule="auto"/>
        <w:jc w:val="both"/>
        <w:rPr>
          <w:rFonts w:ascii="Times New Roman" w:hAnsi="Times New Roman" w:cs="Times New Roman"/>
          <w:sz w:val="24"/>
          <w:szCs w:val="24"/>
        </w:rPr>
      </w:pPr>
      <w:r w:rsidRPr="0066692C">
        <w:rPr>
          <w:rFonts w:ascii="Times New Roman" w:hAnsi="Times New Roman" w:cs="Times New Roman"/>
          <w:i/>
          <w:sz w:val="24"/>
          <w:szCs w:val="24"/>
        </w:rPr>
        <w:t>Table 7. Graph characteristics. * T-Social has no completed run, so its row comes from the frozen dataset manifest.</w:t>
      </w:r>
    </w:p>
    <w:p w14:paraId="5B5C3AB9"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Heterophily does little to address the issues observed in the datasets and doesn't explain model rankings at all. The last heterophilic dataset (before it starts merging) has the best margin, but it still loses to the second-to-last heterophilic dataset. The hard datasets (FDCompCN and Elliptic) have millions of unlabeled edges, but FDCompCN and Elliptic have 7,268 and 73,248 labeled edges, respectively, and are by far the hardest.</w:t>
      </w:r>
    </w:p>
    <w:p w14:paraId="7C45C4BD" w14:textId="77777777" w:rsidR="0083369C" w:rsidRPr="0066692C" w:rsidRDefault="00000000" w:rsidP="0066692C">
      <w:pPr>
        <w:pStyle w:val="Heading1"/>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7. T-Social: Eight Attempts, Three Failure Modes</w:t>
      </w:r>
    </w:p>
    <w:tbl>
      <w:tblPr>
        <w:tblStyle w:val="TableGrid"/>
        <w:tblW w:w="0" w:type="auto"/>
        <w:jc w:val="center"/>
        <w:tblLook w:val="04A0" w:firstRow="1" w:lastRow="0" w:firstColumn="1" w:lastColumn="0" w:noHBand="0" w:noVBand="1"/>
      </w:tblPr>
      <w:tblGrid>
        <w:gridCol w:w="1296"/>
        <w:gridCol w:w="1163"/>
        <w:gridCol w:w="7056"/>
      </w:tblGrid>
      <w:tr w:rsidR="0083369C" w:rsidRPr="0066692C" w14:paraId="6ADD057A" w14:textId="77777777" w:rsidTr="0066692C">
        <w:trPr>
          <w:jc w:val="center"/>
        </w:trPr>
        <w:tc>
          <w:tcPr>
            <w:tcW w:w="1296" w:type="dxa"/>
          </w:tcPr>
          <w:p w14:paraId="6D776EBD"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CARE-GNN</w:t>
            </w:r>
          </w:p>
        </w:tc>
        <w:tc>
          <w:tcPr>
            <w:tcW w:w="1163" w:type="dxa"/>
          </w:tcPr>
          <w:p w14:paraId="19E03F20"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3</w:t>
            </w:r>
          </w:p>
        </w:tc>
        <w:tc>
          <w:tcPr>
            <w:tcW w:w="7056" w:type="dxa"/>
          </w:tcPr>
          <w:p w14:paraId="4AE268D8"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2 tuning trials completed (~71 min each). The final run trained 16 epochs over 1 h 55 m and was still improving — validation AUPRC 0.1006 at epoch 14 — when the 180-minute session cap interrupted it during validation.</w:t>
            </w:r>
          </w:p>
        </w:tc>
      </w:tr>
      <w:tr w:rsidR="0083369C" w:rsidRPr="0066692C" w14:paraId="1AE1CE8C" w14:textId="77777777" w:rsidTr="0066692C">
        <w:trPr>
          <w:jc w:val="center"/>
        </w:trPr>
        <w:tc>
          <w:tcPr>
            <w:tcW w:w="1296" w:type="dxa"/>
          </w:tcPr>
          <w:p w14:paraId="3C27FF73"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GHRN</w:t>
            </w:r>
          </w:p>
        </w:tc>
        <w:tc>
          <w:tcPr>
            <w:tcW w:w="1163" w:type="dxa"/>
          </w:tcPr>
          <w:p w14:paraId="657FA86E"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5</w:t>
            </w:r>
          </w:p>
        </w:tc>
        <w:tc>
          <w:tcPr>
            <w:tcW w:w="7056" w:type="dxa"/>
          </w:tcPr>
          <w:p w14:paraId="6D6D7301"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 xml:space="preserve">A five-rung escalation ladder over width, filter order and device. Rung 1 exhausted GPU memory at published width. Rungs 2–5, once small </w:t>
            </w:r>
            <w:r w:rsidRPr="0066692C">
              <w:rPr>
                <w:rFonts w:ascii="Times New Roman" w:hAnsi="Times New Roman" w:cs="Times New Roman"/>
                <w:sz w:val="24"/>
                <w:szCs w:val="24"/>
              </w:rPr>
              <w:lastRenderedPageBreak/>
              <w:t>enough to fit, failed on a DGL index-dtype defect, identically on GPU and CPU.</w:t>
            </w:r>
          </w:p>
        </w:tc>
      </w:tr>
    </w:tbl>
    <w:p w14:paraId="63BD9AF6" w14:textId="77777777" w:rsidR="0083369C" w:rsidRPr="0066692C" w:rsidRDefault="00000000" w:rsidP="0066692C">
      <w:pPr>
        <w:spacing w:after="200" w:line="360" w:lineRule="auto"/>
        <w:jc w:val="both"/>
        <w:rPr>
          <w:rFonts w:ascii="Times New Roman" w:hAnsi="Times New Roman" w:cs="Times New Roman"/>
          <w:sz w:val="24"/>
          <w:szCs w:val="24"/>
        </w:rPr>
      </w:pPr>
      <w:r w:rsidRPr="0066692C">
        <w:rPr>
          <w:rFonts w:ascii="Times New Roman" w:hAnsi="Times New Roman" w:cs="Times New Roman"/>
          <w:i/>
          <w:sz w:val="24"/>
          <w:szCs w:val="24"/>
        </w:rPr>
        <w:lastRenderedPageBreak/>
        <w:t>Table 8. Every recorded T-Social attempt.</w:t>
      </w:r>
    </w:p>
    <w:p w14:paraId="118FDD61" w14:textId="383F92D3"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T-Social was not skipped. Validation is CARE-GNN's binding cost. It takes about 336 seconds to validate the model compared to 62 seconds for a training epoch because during each epoch the model computes 1,156,213 validation steps. GHRN ran into two issues. First, it hit a hard wall on available compute with the published width of the model requiring an additional 1.38 GiB of RAM of which the T4 had only 638.81 MiB of the 14.56 GiB total. Second, the code did not handle the large scale computation required. T-Social is large enough that when the computation graph is constructed it uses int32 and when torch.arange and torch.argsort are used it constructs a large computation graph with int64 which causes overflow. Decreasing the size of T-Social moved the second issue to the first, so GHRN's cost on T-Social is still unknown.</w:t>
      </w:r>
    </w:p>
    <w:p w14:paraId="572C9E97"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 xml:space="preserve">It is important to discuss T-Social's loss due to the large heterophily. T-Social has a heterophily value of 0.3761 compared to YelpChi's value of 0.2270. Heterophily methods are expected to work best in </w:t>
      </w:r>
      <w:proofErr w:type="gramStart"/>
      <w:r w:rsidRPr="0066692C">
        <w:rPr>
          <w:rFonts w:ascii="Times New Roman" w:hAnsi="Times New Roman" w:cs="Times New Roman"/>
          <w:sz w:val="24"/>
          <w:szCs w:val="24"/>
        </w:rPr>
        <w:t>these type of scenarios</w:t>
      </w:r>
      <w:proofErr w:type="gramEnd"/>
      <w:r w:rsidRPr="0066692C">
        <w:rPr>
          <w:rFonts w:ascii="Times New Roman" w:hAnsi="Times New Roman" w:cs="Times New Roman"/>
          <w:sz w:val="24"/>
          <w:szCs w:val="24"/>
        </w:rPr>
        <w:t>. The heterophily methods are expected to work best in a narrow range of values and a large loss is not unexpected.</w:t>
      </w:r>
    </w:p>
    <w:p w14:paraId="65CCE437"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noProof/>
          <w:sz w:val="24"/>
          <w:szCs w:val="24"/>
        </w:rPr>
        <w:drawing>
          <wp:inline distT="0" distB="0" distL="0" distR="0" wp14:anchorId="0BADB3CC" wp14:editId="21D7471E">
            <wp:extent cx="5394960" cy="3552779"/>
            <wp:effectExtent l="0" t="0" r="0" b="0"/>
            <wp:docPr id="102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7" cstate="print"/>
                    <a:srcRect/>
                    <a:stretch/>
                  </pic:blipFill>
                  <pic:spPr>
                    <a:xfrm>
                      <a:off x="0" y="0"/>
                      <a:ext cx="5394960" cy="3552779"/>
                    </a:xfrm>
                    <a:prstGeom prst="rect">
                      <a:avLst/>
                    </a:prstGeom>
                  </pic:spPr>
                </pic:pic>
              </a:graphicData>
            </a:graphic>
          </wp:inline>
        </w:drawing>
      </w:r>
    </w:p>
    <w:p w14:paraId="005BF843" w14:textId="77777777" w:rsidR="0083369C" w:rsidRPr="0066692C" w:rsidRDefault="00000000" w:rsidP="0066692C">
      <w:pPr>
        <w:spacing w:after="200" w:line="360" w:lineRule="auto"/>
        <w:jc w:val="both"/>
        <w:rPr>
          <w:rFonts w:ascii="Times New Roman" w:hAnsi="Times New Roman" w:cs="Times New Roman"/>
          <w:sz w:val="24"/>
          <w:szCs w:val="24"/>
        </w:rPr>
      </w:pPr>
      <w:r w:rsidRPr="0066692C">
        <w:rPr>
          <w:rFonts w:ascii="Times New Roman" w:hAnsi="Times New Roman" w:cs="Times New Roman"/>
          <w:i/>
          <w:sz w:val="24"/>
          <w:szCs w:val="24"/>
        </w:rPr>
        <w:lastRenderedPageBreak/>
        <w:t>Figure 2. CARE-GNN on T-Social: validation AUPRC and AUROC over the 16 epochs completed before the session cap. These are validation figures from an incomplete run and appear in no results table.</w:t>
      </w:r>
    </w:p>
    <w:p w14:paraId="634FD37E" w14:textId="77777777" w:rsidR="0083369C" w:rsidRPr="0066692C" w:rsidRDefault="00000000" w:rsidP="0066692C">
      <w:pPr>
        <w:pStyle w:val="Heading1"/>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8. Limitations and Remaining Work</w:t>
      </w:r>
    </w:p>
    <w:p w14:paraId="0871689D"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 xml:space="preserve">Four constraints are stated rather than worked around. Test evaluations are lacking for both models. Every run was performed at </w:t>
      </w:r>
      <w:proofErr w:type="gramStart"/>
      <w:r w:rsidRPr="0066692C">
        <w:rPr>
          <w:rFonts w:ascii="Times New Roman" w:hAnsi="Times New Roman" w:cs="Times New Roman"/>
          <w:sz w:val="24"/>
          <w:szCs w:val="24"/>
        </w:rPr>
        <w:t>TR40,</w:t>
      </w:r>
      <w:proofErr w:type="gramEnd"/>
      <w:r w:rsidRPr="0066692C">
        <w:rPr>
          <w:rFonts w:ascii="Times New Roman" w:hAnsi="Times New Roman" w:cs="Times New Roman"/>
          <w:sz w:val="24"/>
          <w:szCs w:val="24"/>
        </w:rPr>
        <w:t xml:space="preserve"> therefore the TR30/TR20/TR10 label scarcity ladder is moot and the imbalance research question is only partially answered; closing the constraint requires about 90 further runs as opposed to new code, in which case the nested split pools are verified and exist. The constraint spans two classes of GPU, therefore times and CUDA memory report for each GPU class are shown. Additionally, GHRN's inter-step selection did not follow the defined rule.</w:t>
      </w:r>
    </w:p>
    <w:tbl>
      <w:tblPr>
        <w:tblStyle w:val="TableGrid"/>
        <w:tblW w:w="0" w:type="auto"/>
        <w:jc w:val="center"/>
        <w:tblLook w:val="04A0" w:firstRow="1" w:lastRow="0" w:firstColumn="1" w:lastColumn="0" w:noHBand="0" w:noVBand="1"/>
      </w:tblPr>
      <w:tblGrid>
        <w:gridCol w:w="1152"/>
        <w:gridCol w:w="6048"/>
        <w:gridCol w:w="2160"/>
      </w:tblGrid>
      <w:tr w:rsidR="0083369C" w:rsidRPr="0066692C" w14:paraId="166D68BB" w14:textId="77777777">
        <w:trPr>
          <w:jc w:val="center"/>
        </w:trPr>
        <w:tc>
          <w:tcPr>
            <w:tcW w:w="1152" w:type="dxa"/>
          </w:tcPr>
          <w:p w14:paraId="727E7429"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1</w:t>
            </w:r>
          </w:p>
        </w:tc>
        <w:tc>
          <w:tcPr>
            <w:tcW w:w="6048" w:type="dxa"/>
          </w:tcPr>
          <w:p w14:paraId="783B3025"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GHRN between-stage selection on validation AUPRC, then re-run</w:t>
            </w:r>
          </w:p>
        </w:tc>
        <w:tc>
          <w:tcPr>
            <w:tcW w:w="2160" w:type="dxa"/>
          </w:tcPr>
          <w:p w14:paraId="11B2E0F9"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~1 session</w:t>
            </w:r>
          </w:p>
        </w:tc>
      </w:tr>
      <w:tr w:rsidR="0083369C" w:rsidRPr="0066692C" w14:paraId="7870C54E" w14:textId="77777777">
        <w:trPr>
          <w:jc w:val="center"/>
        </w:trPr>
        <w:tc>
          <w:tcPr>
            <w:tcW w:w="1152" w:type="dxa"/>
          </w:tcPr>
          <w:p w14:paraId="7E579137"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2</w:t>
            </w:r>
          </w:p>
        </w:tc>
        <w:tc>
          <w:tcPr>
            <w:tcW w:w="6048" w:type="dxa"/>
          </w:tcPr>
          <w:p w14:paraId="006AEF88"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T-Social on the A6000 with the dtype fix applied, GHRN first</w:t>
            </w:r>
          </w:p>
        </w:tc>
        <w:tc>
          <w:tcPr>
            <w:tcW w:w="2160" w:type="dxa"/>
          </w:tcPr>
          <w:p w14:paraId="2173F453"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1–2 sessions</w:t>
            </w:r>
          </w:p>
        </w:tc>
      </w:tr>
      <w:tr w:rsidR="0083369C" w:rsidRPr="0066692C" w14:paraId="438AB1A9" w14:textId="77777777">
        <w:trPr>
          <w:jc w:val="center"/>
        </w:trPr>
        <w:tc>
          <w:tcPr>
            <w:tcW w:w="1152" w:type="dxa"/>
          </w:tcPr>
          <w:p w14:paraId="194E2CAC"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3</w:t>
            </w:r>
          </w:p>
        </w:tc>
        <w:tc>
          <w:tcPr>
            <w:tcW w:w="6048" w:type="dxa"/>
          </w:tcPr>
          <w:p w14:paraId="671490EF"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More seeds on Amazon and T-Finance, the two contested cells</w:t>
            </w:r>
          </w:p>
        </w:tc>
        <w:tc>
          <w:tcPr>
            <w:tcW w:w="2160" w:type="dxa"/>
          </w:tcPr>
          <w:p w14:paraId="1B09017C"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~1 session</w:t>
            </w:r>
          </w:p>
        </w:tc>
      </w:tr>
      <w:tr w:rsidR="0083369C" w:rsidRPr="0066692C" w14:paraId="42A6A4E0" w14:textId="77777777">
        <w:trPr>
          <w:jc w:val="center"/>
        </w:trPr>
        <w:tc>
          <w:tcPr>
            <w:tcW w:w="1152" w:type="dxa"/>
          </w:tcPr>
          <w:p w14:paraId="3ACE8267"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4</w:t>
            </w:r>
          </w:p>
        </w:tc>
        <w:tc>
          <w:tcPr>
            <w:tcW w:w="6048" w:type="dxa"/>
          </w:tcPr>
          <w:p w14:paraId="1F6D7360"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TR30 / TR20 / TR10 label-scarcity ladder</w:t>
            </w:r>
          </w:p>
        </w:tc>
        <w:tc>
          <w:tcPr>
            <w:tcW w:w="2160" w:type="dxa"/>
          </w:tcPr>
          <w:p w14:paraId="44EFE811"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90 runs</w:t>
            </w:r>
          </w:p>
        </w:tc>
      </w:tr>
    </w:tbl>
    <w:p w14:paraId="0E0FF0E8" w14:textId="77777777" w:rsidR="0083369C" w:rsidRPr="0066692C" w:rsidRDefault="00000000" w:rsidP="0066692C">
      <w:pPr>
        <w:spacing w:after="200" w:line="360" w:lineRule="auto"/>
        <w:jc w:val="both"/>
        <w:rPr>
          <w:rFonts w:ascii="Times New Roman" w:hAnsi="Times New Roman" w:cs="Times New Roman"/>
          <w:sz w:val="24"/>
          <w:szCs w:val="24"/>
        </w:rPr>
      </w:pPr>
      <w:r w:rsidRPr="0066692C">
        <w:rPr>
          <w:rFonts w:ascii="Times New Roman" w:hAnsi="Times New Roman" w:cs="Times New Roman"/>
          <w:i/>
          <w:sz w:val="24"/>
          <w:szCs w:val="24"/>
        </w:rPr>
        <w:t>Table 9. Remaining work in priority order.</w:t>
      </w:r>
    </w:p>
    <w:p w14:paraId="1499AB5B" w14:textId="77777777" w:rsidR="0083369C" w:rsidRPr="0066692C" w:rsidRDefault="00000000" w:rsidP="0066692C">
      <w:pPr>
        <w:pStyle w:val="Heading1"/>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9. Conclusion</w:t>
      </w:r>
    </w:p>
    <w:p w14:paraId="664F88F0" w14:textId="77777777" w:rsidR="0083369C" w:rsidRPr="0066692C" w:rsidRDefault="00000000" w:rsidP="0066692C">
      <w:pPr>
        <w:spacing w:line="360" w:lineRule="auto"/>
        <w:jc w:val="both"/>
        <w:rPr>
          <w:rFonts w:ascii="Times New Roman" w:hAnsi="Times New Roman" w:cs="Times New Roman"/>
          <w:sz w:val="24"/>
          <w:szCs w:val="24"/>
        </w:rPr>
      </w:pPr>
      <w:r w:rsidRPr="0066692C">
        <w:rPr>
          <w:rFonts w:ascii="Times New Roman" w:hAnsi="Times New Roman" w:cs="Times New Roman"/>
          <w:sz w:val="24"/>
          <w:szCs w:val="24"/>
        </w:rPr>
        <w:t>In five datasets, overall, GHRN outperforms CARE-GNN, but these variations are less than seed noise. CARE-GNN’s reliability, however, is worrisome: 10 of its 15 runs failed to train. GHRN’s runs did not fail. Because of this, the large accuracy difference between the two models is explainable. Overall, GHRN performed better than CARE-GNN. Using GHRN’s ablation, we see that the mechanism that the authors of the paper focus on, heterophily, improves accuracy in 9 of the 15 runs. In the runs where it improved accuracy, GHRN outperformed CARE-GNN on the average difficulty dataset. Overall, model architecture explains the ranking of the two models better than graph structure. The authors focus mostly on ‘message-passing’ architectures. T-Social is the limiting factor of the study. The authors attempted it eight times, and it failed each time. It contains the most valuable information, and focuses on the area that the authors of the study are analyzing.</w:t>
      </w:r>
    </w:p>
    <w:sectPr w:rsidR="0083369C" w:rsidRPr="0066692C">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C310EC42"/>
    <w:lvl w:ilvl="0">
      <w:start w:val="1"/>
      <w:numFmt w:val="decimal"/>
      <w:lvlText w:val="%1."/>
      <w:lvlJc w:val="left"/>
      <w:pPr>
        <w:tabs>
          <w:tab w:val="left" w:pos="1800"/>
        </w:tabs>
        <w:ind w:left="1800" w:hanging="360"/>
      </w:pPr>
    </w:lvl>
  </w:abstractNum>
  <w:abstractNum w:abstractNumId="1"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2"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num w:numId="1" w16cid:durableId="154104846">
    <w:abstractNumId w:val="8"/>
  </w:num>
  <w:num w:numId="2" w16cid:durableId="1348672257">
    <w:abstractNumId w:val="6"/>
  </w:num>
  <w:num w:numId="3" w16cid:durableId="1988586184">
    <w:abstractNumId w:val="5"/>
  </w:num>
  <w:num w:numId="4" w16cid:durableId="280000076">
    <w:abstractNumId w:val="7"/>
  </w:num>
  <w:num w:numId="5" w16cid:durableId="1158039095">
    <w:abstractNumId w:val="3"/>
  </w:num>
  <w:num w:numId="6" w16cid:durableId="57365307">
    <w:abstractNumId w:val="2"/>
  </w:num>
  <w:num w:numId="7" w16cid:durableId="1419519367">
    <w:abstractNumId w:val="4"/>
  </w:num>
  <w:num w:numId="8" w16cid:durableId="448741585">
    <w:abstractNumId w:val="1"/>
  </w:num>
  <w:num w:numId="9" w16cid:durableId="2145540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369C"/>
    <w:rsid w:val="00212C4D"/>
    <w:rsid w:val="0066692C"/>
    <w:rsid w:val="008336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5D01AA"/>
  <w15:docId w15:val="{FA3DB7E6-10BB-4CC6-B63D-017664BF5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69" w:lineRule="auto"/>
    </w:pPr>
    <w:rPr>
      <w:rFonts w:ascii="Calibri" w:hAnsi="Calibri"/>
      <w:sz w:val="21"/>
    </w:rPr>
  </w:style>
  <w:style w:type="paragraph" w:styleId="Heading1">
    <w:name w:val="heading 1"/>
    <w:basedOn w:val="Normal"/>
    <w:next w:val="Normal"/>
    <w:link w:val="Heading1Char"/>
    <w:uiPriority w:val="9"/>
    <w:qFormat/>
    <w:pPr>
      <w:keepNext/>
      <w:keepLines/>
      <w:spacing w:before="240" w:after="100"/>
      <w:outlineLvl w:val="0"/>
    </w:pPr>
    <w:rPr>
      <w:rFonts w:eastAsia="MS Gothic"/>
      <w:b/>
      <w:bCs/>
      <w:color w:val="1F3B63"/>
      <w:sz w:val="26"/>
      <w:szCs w:val="28"/>
    </w:rPr>
  </w:style>
  <w:style w:type="paragraph" w:styleId="Heading2">
    <w:name w:val="heading 2"/>
    <w:basedOn w:val="Normal"/>
    <w:next w:val="Normal"/>
    <w:link w:val="Heading2Char"/>
    <w:uiPriority w:val="9"/>
    <w:semiHidden/>
    <w:unhideWhenUsed/>
    <w:qFormat/>
    <w:pPr>
      <w:keepNext/>
      <w:keepLines/>
      <w:spacing w:before="240" w:after="100"/>
      <w:outlineLvl w:val="1"/>
    </w:pPr>
    <w:rPr>
      <w:rFonts w:eastAsia="MS Gothic"/>
      <w:b/>
      <w:bCs/>
      <w:color w:val="1F3B63"/>
      <w:sz w:val="22"/>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eastAsia="MS Gothic"/>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eastAsia="MS Gothic"/>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eastAsia="MS Gothic"/>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eastAsia="MS Gothic"/>
      <w:i/>
      <w:iCs/>
      <w:color w:val="243F60"/>
    </w:rPr>
  </w:style>
  <w:style w:type="paragraph" w:styleId="Heading7">
    <w:name w:val="heading 7"/>
    <w:basedOn w:val="Normal"/>
    <w:next w:val="Normal"/>
    <w:link w:val="Heading7Char"/>
    <w:uiPriority w:val="9"/>
    <w:qFormat/>
    <w:pPr>
      <w:keepNext/>
      <w:keepLines/>
      <w:spacing w:before="200" w:after="0"/>
      <w:outlineLvl w:val="6"/>
    </w:pPr>
    <w:rPr>
      <w:rFonts w:eastAsia="MS Gothic"/>
      <w:i/>
      <w:iCs/>
      <w:color w:val="404040"/>
    </w:rPr>
  </w:style>
  <w:style w:type="paragraph" w:styleId="Heading8">
    <w:name w:val="heading 8"/>
    <w:basedOn w:val="Normal"/>
    <w:next w:val="Normal"/>
    <w:link w:val="Heading8Char"/>
    <w:uiPriority w:val="9"/>
    <w:qFormat/>
    <w:pPr>
      <w:keepNext/>
      <w:keepLines/>
      <w:spacing w:before="200" w:after="0"/>
      <w:outlineLvl w:val="7"/>
    </w:pPr>
    <w:rPr>
      <w:rFonts w:eastAsia="MS Gothic"/>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eastAsia="MS Gothic"/>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eastAsia="MS Gothic"/>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eastAsia="MS Gothic"/>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8</Pages>
  <Words>2063</Words>
  <Characters>11760</Characters>
  <Application>Microsoft Office Word</Application>
  <DocSecurity>0</DocSecurity>
  <Lines>98</Lines>
  <Paragraphs>27</Paragraphs>
  <ScaleCrop>false</ScaleCrop>
  <Company/>
  <LinksUpToDate>false</LinksUpToDate>
  <CharactersWithSpaces>13796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Abdullah Faisal</cp:lastModifiedBy>
  <cp:revision>2</cp:revision>
  <dcterms:created xsi:type="dcterms:W3CDTF">2013-12-23T23:15:00Z</dcterms:created>
  <dcterms:modified xsi:type="dcterms:W3CDTF">2026-09-17T14:24:00Z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5d7843a541c1444eb1df46e0a32f9acf</vt:lpwstr>
  </property>
</Properties>
</file>