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20"/>
      </w:pPr>
      <w:r>
        <w:rPr>
          <w:b/>
          <w:color w:val="0F172A"/>
          <w:sz w:val="32"/>
        </w:rPr>
        <w:t>Audit report: existing COMP8851 benchmark, and readiness for SAGAD, SpaceGNN and CRoC</w:t>
      </w:r>
    </w:p>
    <w:p>
      <w:pPr>
        <w:spacing w:before="40" w:after="60"/>
      </w:pPr>
      <w:r>
        <w:rPr>
          <w:b w:val="0"/>
          <w:sz w:val="20"/>
        </w:rPr>
        <w:t xml:space="preserve">Prepared 2026-10-11. Every finding cites a file or a command that was executed. Paths are relative to </w:t>
      </w:r>
      <w:r>
        <w:rPr>
          <w:rFonts w:ascii="Consolas" w:hAnsi="Consolas"/>
          <w:b w:val="0"/>
          <w:color w:val="1E3A8A"/>
          <w:sz w:val="19"/>
        </w:rPr>
        <w:t>C:\Users\Admin\Downloads\Abdullah\</w:t>
      </w:r>
      <w:r>
        <w:rPr>
          <w:b w:val="0"/>
          <w:sz w:val="20"/>
        </w:rPr>
        <w:t>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1. What exists (inventory)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Workspace.</w:t>
      </w:r>
      <w:r>
        <w:rPr>
          <w:b w:val="0"/>
          <w:sz w:val="19"/>
        </w:rPr>
        <w:t xml:space="preserve"> About 6.4 GB, 2,656 files. It is </w:t>
      </w:r>
      <w:r>
        <w:rPr>
          <w:b/>
          <w:sz w:val="19"/>
        </w:rPr>
        <w:t>not a git repository</w:t>
      </w:r>
      <w:r>
        <w:rPr>
          <w:b w:val="0"/>
          <w:sz w:val="19"/>
        </w:rPr>
        <w:t>, and no git binary is installed, so provenance relies on SHA256 hashes rather than commits.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Five overlapping copies of the project: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project/CLIENT_DELIVERABLE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_v2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_FINAL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project/COMP8851_FINAL_SUBMISSION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project/COMP8851-fraud-dataset-analysis-UPDATED</w:t>
      </w:r>
    </w:p>
    <w:p>
      <w:pPr>
        <w:spacing w:before="40" w:after="60"/>
      </w:pPr>
      <w:r>
        <w:rPr>
          <w:b w:val="0"/>
          <w:sz w:val="20"/>
        </w:rPr>
        <w:t xml:space="preserve">Their </w:t>
      </w:r>
      <w:r>
        <w:rPr>
          <w:rFonts w:ascii="Consolas" w:hAnsi="Consolas"/>
          <w:b w:val="0"/>
          <w:color w:val="1E3A8A"/>
          <w:sz w:val="19"/>
        </w:rPr>
        <w:t>shared/comp8851</w:t>
      </w:r>
      <w:r>
        <w:rPr>
          <w:b w:val="0"/>
          <w:sz w:val="20"/>
        </w:rPr>
        <w:t xml:space="preserve"> libraries agree except for </w:t>
      </w:r>
      <w:r>
        <w:rPr>
          <w:rFonts w:ascii="Consolas" w:hAnsi="Consolas"/>
          <w:b w:val="0"/>
          <w:color w:val="1E3A8A"/>
          <w:sz w:val="19"/>
        </w:rPr>
        <w:t>datasets.py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dgl_env.py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E3A8A"/>
          <w:sz w:val="19"/>
        </w:rPr>
        <w:t>fetch_datasets.py</w:t>
      </w:r>
      <w:r>
        <w:rPr>
          <w:b w:val="0"/>
          <w:sz w:val="20"/>
        </w:rPr>
        <w:t xml:space="preserve"> and </w:t>
      </w:r>
      <w:r>
        <w:rPr>
          <w:rFonts w:ascii="Consolas" w:hAnsi="Consolas"/>
          <w:b w:val="0"/>
          <w:color w:val="1E3A8A"/>
          <w:sz w:val="19"/>
        </w:rPr>
        <w:t>protocol.py</w:t>
      </w:r>
      <w:r>
        <w:rPr>
          <w:b w:val="0"/>
          <w:sz w:val="20"/>
        </w:rPr>
        <w:t xml:space="preserve">. The </w:t>
      </w:r>
      <w:r>
        <w:rPr>
          <w:rFonts w:ascii="Consolas" w:hAnsi="Consolas"/>
          <w:b w:val="0"/>
          <w:color w:val="1E3A8A"/>
          <w:sz w:val="19"/>
        </w:rPr>
        <w:t>_FINAL</w:t>
      </w:r>
      <w:r>
        <w:rPr>
          <w:b w:val="0"/>
          <w:sz w:val="20"/>
        </w:rPr>
        <w:t xml:space="preserve"> and </w:t>
      </w:r>
      <w:r>
        <w:rPr>
          <w:rFonts w:ascii="Consolas" w:hAnsi="Consolas"/>
          <w:b w:val="0"/>
          <w:color w:val="1E3A8A"/>
          <w:sz w:val="19"/>
        </w:rPr>
        <w:t>FINAL_SUBMISSION</w:t>
      </w:r>
      <w:r>
        <w:rPr>
          <w:b w:val="0"/>
          <w:sz w:val="20"/>
        </w:rPr>
        <w:t xml:space="preserve"> copies of those four are the newest, so the phase-2 bundle copies </w:t>
      </w:r>
      <w:r>
        <w:rPr>
          <w:rFonts w:ascii="Consolas" w:hAnsi="Consolas"/>
          <w:b w:val="0"/>
          <w:color w:val="1E3A8A"/>
          <w:sz w:val="19"/>
        </w:rPr>
        <w:t>COMP8851_FINAL_SUBMISSION/source_code/shared</w:t>
      </w:r>
      <w:r>
        <w:rPr>
          <w:b w:val="0"/>
          <w:sz w:val="20"/>
        </w:rPr>
        <w:t xml:space="preserve"> verbatim (hashes in </w:t>
      </w:r>
      <w:r>
        <w:rPr>
          <w:rFonts w:ascii="Consolas" w:hAnsi="Consolas"/>
          <w:b w:val="0"/>
          <w:color w:val="1E3A8A"/>
          <w:sz w:val="19"/>
        </w:rPr>
        <w:t>audit/copied_assets_manifest.json</w:t>
      </w:r>
      <w:r>
        <w:rPr>
          <w:b w:val="0"/>
          <w:sz w:val="20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Report.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COMP8851_Assessment2_Report_FINAL-069.pdf</w:t>
      </w:r>
      <w:r>
        <w:rPr>
          <w:b w:val="0"/>
          <w:sz w:val="19"/>
        </w:rPr>
        <w:t>, 16 pages, with Table 6 holding the 10-model TR40 AUPRC.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Run evidence.</w:t>
      </w:r>
      <w:r>
        <w:rPr>
          <w:b w:val="0"/>
          <w:sz w:val="19"/>
        </w:rPr>
        <w:t xml:space="preserve"> CARE-GNN and GHRN have per-run evidence (summary, epoch times, validation metrics, test metrics, manifests) for five datasets × three seeds under </w:t>
      </w:r>
      <w:r>
        <w:rPr>
          <w:rFonts w:ascii="Consolas" w:hAnsi="Consolas"/>
          <w:b w:val="0"/>
          <w:color w:val="1E3A8A"/>
          <w:sz w:val="18"/>
        </w:rPr>
        <w:t>project/COMP8851_FINAL_SUBMISSION/evidence/</w:t>
      </w:r>
      <w:r>
        <w:rPr>
          <w:b w:val="0"/>
          <w:sz w:val="19"/>
        </w:rPr>
        <w:t xml:space="preserve">. PC-GNN and BWGNN evidence is under </w:t>
      </w:r>
      <w:r>
        <w:rPr>
          <w:rFonts w:ascii="Consolas" w:hAnsi="Consolas"/>
          <w:b w:val="0"/>
          <w:color w:val="1E3A8A"/>
          <w:sz w:val="18"/>
        </w:rPr>
        <w:t>project/COMP8851-fraud-dataset-analysis-UPDATED/.../models/</w:t>
      </w:r>
      <w:r>
        <w:rPr>
          <w:b w:val="0"/>
          <w:sz w:val="19"/>
        </w:rPr>
        <w:t>. No evidence for GAAP, PMP, DGA-GNN, GAGA, FRAUDRE or SplitGNN is in this workspace.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Data.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Only T-Social was present locally, inside </w:t>
      </w:r>
      <w:r>
        <w:rPr>
          <w:rFonts w:ascii="Consolas" w:hAnsi="Consolas"/>
          <w:b w:val="0"/>
          <w:color w:val="1E3A8A"/>
          <w:sz w:val="18"/>
        </w:rPr>
        <w:t>project/comp8851.zip</w:t>
      </w:r>
      <w:r>
        <w:rPr>
          <w:b w:val="0"/>
          <w:sz w:val="19"/>
        </w:rPr>
        <w:t xml:space="preserve">, as </w:t>
      </w:r>
      <w:r>
        <w:rPr>
          <w:rFonts w:ascii="Consolas" w:hAnsi="Consolas"/>
          <w:b w:val="0"/>
          <w:color w:val="1E3A8A"/>
          <w:sz w:val="18"/>
        </w:rPr>
        <w:t>tsocial_canonical.npz</w:t>
      </w:r>
      <w:r>
        <w:rPr>
          <w:b w:val="0"/>
          <w:sz w:val="19"/>
        </w:rPr>
        <w:t xml:space="preserve"> (sha256 </w:t>
      </w:r>
      <w:r>
        <w:rPr>
          <w:rFonts w:ascii="Consolas" w:hAnsi="Consolas"/>
          <w:b w:val="0"/>
          <w:color w:val="1E3A8A"/>
          <w:sz w:val="18"/>
        </w:rPr>
        <w:t>a30fb6a0…</w:t>
      </w:r>
      <w:r>
        <w:rPr>
          <w:b w:val="0"/>
          <w:sz w:val="19"/>
        </w:rPr>
        <w:t>) plus its split registry.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Frozen registries were found for YelpChi, Amazon, T-Finance (under </w:t>
      </w:r>
      <w:r>
        <w:rPr>
          <w:rFonts w:ascii="Consolas" w:hAnsi="Consolas"/>
          <w:b w:val="0"/>
          <w:color w:val="1E3A8A"/>
          <w:sz w:val="18"/>
        </w:rPr>
        <w:t>models/bwgnn/tfinance/shared/splits/</w:t>
      </w:r>
      <w:r>
        <w:rPr>
          <w:b w:val="0"/>
          <w:sz w:val="19"/>
        </w:rPr>
        <w:t>, with non-canonical file names) and T-Social.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No frozen Elliptic or FDCompCN split arrays exist anywhere in the workspace.</w:t>
      </w:r>
      <w:r>
        <w:rPr>
          <w:b w:val="0"/>
          <w:sz w:val="19"/>
        </w:rPr>
        <w:t xml:space="preserve"> Only their </w:t>
      </w:r>
      <w:r>
        <w:rPr>
          <w:rFonts w:ascii="Consolas" w:hAnsi="Consolas"/>
          <w:b w:val="0"/>
          <w:color w:val="1E3A8A"/>
          <w:sz w:val="18"/>
        </w:rPr>
        <w:t>split_summary.json</w:t>
      </w:r>
      <w:r>
        <w:rPr>
          <w:b w:val="0"/>
          <w:sz w:val="19"/>
        </w:rPr>
        <w:t xml:space="preserve"> counts survive.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Phase-2 model choice.</w:t>
      </w:r>
    </w:p>
    <w:p>
      <w:pPr>
        <w:spacing w:before="30" w:after="30"/>
        <w:ind w:left="648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Model Selection Justification FdGars, GraphConsis and LEX-GNN (1).pdf</w:t>
      </w:r>
      <w:r>
        <w:rPr>
          <w:b w:val="0"/>
          <w:sz w:val="19"/>
        </w:rPr>
        <w:t xml:space="preserve"> (6 Oct 2026) proposed FdGars, GraphConsis and LEX-GNN.</w:t>
      </w:r>
    </w:p>
    <w:p>
      <w:pPr>
        <w:spacing w:before="30" w:after="30"/>
        <w:ind w:left="648"/>
      </w:pPr>
      <w:r>
        <w:rPr>
          <w:b w:val="0"/>
          <w:sz w:val="19"/>
        </w:rPr>
        <w:t>• The current brief names SAGAD, SpaceGNN and CRoC; the brief was followed.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2. The established protocol, verified from code and report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Source.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shared/comp8851/protocol.py</w:t>
      </w:r>
      <w:r>
        <w:rPr>
          <w:b w:val="0"/>
          <w:sz w:val="19"/>
        </w:rPr>
        <w:t>, which mirrors report pages 3–4.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Split.</w:t>
      </w:r>
      <w:r>
        <w:rPr>
          <w:b w:val="0"/>
          <w:sz w:val="19"/>
        </w:rPr>
        <w:t xml:space="preserve"> Split seed 2. TR40 is a stratified 40/20/40 split over eligible nodes; TR30, TR20 and TR10 are nested subsets of the TR40 training set, while validation and test stay fixed.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Elliptic</w:t>
      </w:r>
      <w:r>
        <w:rPr>
          <w:b w:val="0"/>
          <w:sz w:val="19"/>
        </w:rPr>
        <w:t xml:space="preserve"> is split chronologically. Amazon's first 3,305 nodes and Elliptic's unknown-class nodes stay in the graph but are never supervised.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Seeds:</w:t>
      </w:r>
      <w:r>
        <w:rPr>
          <w:b w:val="0"/>
          <w:sz w:val="19"/>
        </w:rPr>
        <w:t xml:space="preserve"> </w:t>
      </w:r>
      <w:r>
        <w:rPr>
          <w:b/>
          <w:sz w:val="19"/>
        </w:rPr>
        <w:t>2, 42, 72</w:t>
      </w:r>
      <w:r>
        <w:rPr>
          <w:b w:val="0"/>
          <w:sz w:val="19"/>
        </w:rPr>
        <w:t>, not 1, 2, 3.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Tuning:</w:t>
      </w:r>
      <w:r>
        <w:rPr>
          <w:b w:val="0"/>
          <w:sz w:val="19"/>
        </w:rPr>
        <w:t xml:space="preserve"> at most 12 trials on TR40 with seed 2, selected on validation AUPRC.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Training:</w:t>
      </w:r>
      <w:r>
        <w:rPr>
          <w:b w:val="0"/>
          <w:sz w:val="19"/>
        </w:rPr>
        <w:t xml:space="preserve"> at most 100 epochs, early-stopping patience 20, checkpoint selection on validation AUPRC.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Threshold:</w:t>
      </w:r>
      <w:r>
        <w:rPr>
          <w:b w:val="0"/>
          <w:sz w:val="19"/>
        </w:rPr>
        <w:t xml:space="preserve"> swept on validation from 0.01 to 0.99, maximising Macro-F1, then fraud recall, then closeness to 0.5.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Metrics:</w:t>
      </w:r>
      <w:r>
        <w:rPr>
          <w:b w:val="0"/>
          <w:sz w:val="19"/>
        </w:rPr>
        <w:t xml:space="preserve"> AUPRC (sklearn </w:t>
      </w:r>
      <w:r>
        <w:rPr>
          <w:rFonts w:ascii="Consolas" w:hAnsi="Consolas"/>
          <w:b w:val="0"/>
          <w:color w:val="1E3A8A"/>
          <w:sz w:val="18"/>
        </w:rPr>
        <w:t>average_precision_score</w:t>
      </w:r>
      <w:r>
        <w:rPr>
          <w:b w:val="0"/>
          <w:sz w:val="19"/>
        </w:rPr>
        <w:t>, positive class 1) is primary. Also recorded: AUROC, Macro-F1, fraud F1, precision, recall, G-Mean and accuracy.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Reporting:</w:t>
      </w:r>
      <w:r>
        <w:rPr>
          <w:b w:val="0"/>
          <w:sz w:val="19"/>
        </w:rPr>
        <w:t xml:space="preserve"> mean ± sample SD (ddof = 1) over seeds.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Hardware:</w:t>
      </w:r>
      <w:r>
        <w:rPr>
          <w:b w:val="0"/>
          <w:sz w:val="19"/>
        </w:rPr>
        <w:t xml:space="preserve"> RTX A6000 48 GB, with A100 as the fallback.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3.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High</w:t>
            </w:r>
            <w:r>
              <w:rPr>
                <w:b w:val="0"/>
                <w:sz w:val="18"/>
              </w:rPr>
              <w:t xml:space="preserve"> (comparability)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PC-GNN's YelpChi rows in Table 6 were not computed on the registry split. PC-GNN used validation/test partitions of 9,099/18,474 nodes; the registry and the CARE-GNN/GHRN runs use 9,191/18,382. The training sets are both 18,381 nodes. Table 6 shows no † marker for this row.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models/pc-gnn/yelpchi/evidence/raw/final-seed-{2,42,72}/splits/yelpchi_tr40_split_seed2.npz</w:t>
            </w:r>
            <w:r>
              <w:rPr>
                <w:b w:val="0"/>
                <w:sz w:val="18"/>
              </w:rPr>
              <w:t xml:space="preserve"> versus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shared/splits/yelpchi/yelpchi_TR40_seed2.npz</w:t>
            </w:r>
            <w:r>
              <w:rPr>
                <w:b w:val="0"/>
                <w:sz w:val="18"/>
              </w:rPr>
              <w:t xml:space="preserve"> (sha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e9fe555f…</w:t>
            </w:r>
            <w:r>
              <w:rPr>
                <w:b w:val="0"/>
                <w:sz w:val="18"/>
              </w:rPr>
              <w:t>). Content comparison by script.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High (reproducibility)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The shipped GHRN runner crashes: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args.index_dtype</w:t>
            </w:r>
            <w:r>
              <w:rPr>
                <w:b w:val="0"/>
                <w:sz w:val="18"/>
              </w:rPr>
              <w:t xml:space="preserve"> is used but never defined.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project/COMP8851_FINAL_SUBMISSION/source_code/models/ghrn/scripts/run_one.py:322-323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No model in the previous benchmark saved per-node predictions, so no reported score can be recomputed independently, only re-read.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shared/comp8851/artifacts.py</w:t>
            </w:r>
            <w:r>
              <w:rPr>
                <w:b w:val="0"/>
                <w:sz w:val="18"/>
              </w:rPr>
              <w:t xml:space="preserve"> (no prediction artefact)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The canonical FDCompCN "relation view" has 4 relations. One of them,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homo</w:t>
            </w:r>
            <w:r>
              <w:rPr>
                <w:b w:val="0"/>
                <w:sz w:val="18"/>
              </w:rPr>
              <w:t>, is exactly the union of the three semantic relations (verified), so relation-aware models such as CARE-GNN received a redundant fourth relation.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evidence/caregnn_fdcompcn_seed2/dataset_view_manifest.json</w:t>
            </w:r>
            <w:r>
              <w:rPr>
                <w:b w:val="0"/>
                <w:sz w:val="18"/>
              </w:rPr>
              <w:t xml:space="preserve"> (homo 7,268 directed edges);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phase2/data.py::semantic_relations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Report Table 3 gives 4,398,392 Amazon edges, the count of the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homo</w:t>
            </w:r>
            <w:r>
              <w:rPr>
                <w:b w:val="0"/>
                <w:sz w:val="18"/>
              </w:rPr>
              <w:t xml:space="preserve"> key in Amazon.mat. The graph every run actually used is the union of the three relations: 4,417,576 undirected edges.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evidence/caregnn_amazon_seed2/dataset_manifest.json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F6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The Elliptic split is a count-based 40/20/40 after a stable time sort. Time step 20 is shared by train and validation, and step 32 by validation and test. The report states "1–20 / 21–31 / 32–49". The partitions are still in time order, so no future node enters training.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tests/test_data_and_leakage.py::test_elliptic_is_chronological</w:t>
            </w:r>
            <w:r>
              <w:rPr>
                <w:b w:val="0"/>
                <w:sz w:val="18"/>
              </w:rPr>
              <w:t>; train steps 1–20, validation 20–32, test 32–49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F7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protocol.result_dir</w:t>
            </w:r>
            <w:r>
              <w:rPr>
                <w:b w:val="0"/>
                <w:sz w:val="18"/>
              </w:rPr>
              <w:t xml:space="preserve"> has no attempt suffix, so re-running a cell overwrites its evidence.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shared/comp8851/protocol.py:216</w:t>
            </w:r>
            <w:r>
              <w:rPr>
                <w:b w:val="0"/>
                <w:sz w:val="18"/>
              </w:rPr>
              <w:t xml:space="preserve"> (phase 2 archives instead: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phase2/harness.py::archive_existing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F8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Info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Elliptic and FDCompCN registries were regenerated with the unchanged builder. The TR40 sizes and fraud counts equal the previous runs' records exactly.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phase2/data.py::PREVIOUS_TR40_COUNTS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data/canonical/data_status.json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F9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Info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Duplicate feature rows among eligible nodes: FDCompCN 76, Amazon 293, Elliptic 28, T-Finance 23, T-Social 1,879,517 (10 features), YelpChi 0. This is not label leakage; it is reported for transparency.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data/canonical/data_status.json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F10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 Kaggle API token was pasted into the chat on 2026-10-11. It was not used and must be revoked.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kaggle/README_KAGGLE.md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b/>
          <w:color w:val="1E3A8A"/>
          <w:sz w:val="26"/>
        </w:rPr>
        <w:t>4. Datasets: provenance and integrity (all six available)</w:t>
      </w:r>
    </w:p>
    <w:p>
      <w:pPr>
        <w:spacing w:before="40" w:after="60"/>
      </w:pPr>
      <w:r>
        <w:rPr>
          <w:b w:val="0"/>
          <w:sz w:val="20"/>
        </w:rPr>
        <w:t xml:space="preserve">Every canonical cache was rebuilt from the original public release, or copied from the owner's frozen cache. Its </w:t>
      </w:r>
      <w:r>
        <w:rPr>
          <w:b w:val="0"/>
          <w:i/>
          <w:sz w:val="20"/>
        </w:rPr>
        <w:t>view hash</w:t>
      </w:r>
      <w:r>
        <w:rPr>
          <w:b w:val="0"/>
          <w:sz w:val="20"/>
        </w:rPr>
        <w:t xml:space="preserve">, which covers labels, features and edges, equals the hash recorded by the previous CARE-GNN/GHRN runs. </w:t>
      </w:r>
      <w:r>
        <w:rPr>
          <w:b/>
          <w:sz w:val="20"/>
        </w:rPr>
        <w:t>The new models therefore see byte-identical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Source used here</w:t>
            </w:r>
          </w:p>
        </w:tc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Source file sha256</w:t>
            </w:r>
          </w:p>
        </w:tc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Identity check vs previous runs</w:t>
            </w:r>
          </w:p>
        </w:tc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TR40 partition check</w:t>
            </w:r>
          </w:p>
        </w:tc>
      </w:tr>
      <w:tr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YelpChi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data.dgl.ai FraudYelp.zip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YelpChi.mat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fedb35a8…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homogeneous and relation views identical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18,381 / 9,191 / 18,382 ✓</w:t>
            </w:r>
          </w:p>
        </w:tc>
      </w:tr>
      <w:tr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data.dgl.ai FraudAmazon.zip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Amazon.mat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4b7e3f9c…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identical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3,455 / 1,728 / 3,456 ✓</w:t>
            </w:r>
          </w:p>
        </w:tc>
      </w:tr>
      <w:tr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T-Finance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 xml:space="preserve">BWGNN authors' Google Drive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tfinance.zip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graph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b7d853ec…</w:t>
            </w:r>
            <w:r>
              <w:rPr>
                <w:b w:val="0"/>
                <w:sz w:val="18"/>
              </w:rPr>
              <w:t xml:space="preserve"> (= split manifest's source)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identical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15,742 / 7,871 / 15,744 ✓</w:t>
            </w:r>
          </w:p>
        </w:tc>
      </w:tr>
      <w:tr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Elliptic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PyG mirror of the Kaggle CSVs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features/classes/edges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fd7f8357…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93e2e7b2…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a35053ba…</w:t>
            </w:r>
            <w:r>
              <w:rPr>
                <w:b w:val="0"/>
                <w:sz w:val="18"/>
              </w:rPr>
              <w:t xml:space="preserve"> (= previous Kaggle files)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identical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18,626 / 9,313 / 18,625 ✓</w:t>
            </w:r>
          </w:p>
        </w:tc>
      </w:tr>
      <w:tr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FDCompCN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 xml:space="preserve">SplitGNN repository @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32fbdb8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data/FDCompCN.zip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comp.dgl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e252b9a6…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identical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2,126 / 1,063 / 2,128 ✓</w:t>
            </w:r>
          </w:p>
        </w:tc>
      </w:tr>
      <w:tr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T-Social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comp8851.zip</w:t>
            </w:r>
            <w:r>
              <w:rPr>
                <w:b w:val="0"/>
                <w:sz w:val="18"/>
              </w:rPr>
              <w:t xml:space="preserve"> canonical cache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a30fb6a0…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relation view identical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2,312,426 / 1,156,213 / 2,312,426 ✓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b/>
          <w:color w:val="1E3A8A"/>
          <w:sz w:val="26"/>
        </w:rPr>
        <w:t>5. Readiness verdict</w:t>
      </w:r>
    </w:p>
    <w:p>
      <w:pPr>
        <w:spacing w:before="40" w:after="60"/>
      </w:pPr>
      <w:r>
        <w:rPr>
          <w:b w:val="0"/>
          <w:sz w:val="20"/>
        </w:rPr>
        <w:t xml:space="preserve">There is no unresolved critical correctness or leakage issue in the phase-2 pipeline. Findings F1 to F5 concern the existing 10-model benchmark and are recommended for the team's attention. The comparison table marks F1 with </w:t>
      </w:r>
      <w:r>
        <w:rPr>
          <w:rFonts w:ascii="Consolas" w:hAnsi="Consolas"/>
          <w:b w:val="0"/>
          <w:color w:val="1E3A8A"/>
          <w:sz w:val="19"/>
        </w:rPr>
        <w:t>#</w:t>
      </w:r>
      <w:r>
        <w:rPr>
          <w:b w:val="0"/>
          <w:sz w:val="20"/>
        </w:rPr>
        <w:t>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