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60" w:after="120"/>
      </w:pPr>
      <w:r>
        <w:rPr>
          <w:b/>
          <w:color w:val="0F172A"/>
          <w:sz w:val="32"/>
        </w:rPr>
        <w:t>Documented departures from the official code and papers</w:t>
      </w:r>
    </w:p>
    <w:p>
      <w:pPr>
        <w:spacing w:before="40" w:after="60"/>
      </w:pPr>
      <w:r>
        <w:rPr>
          <w:b w:val="0"/>
          <w:sz w:val="20"/>
        </w:rPr>
        <w:t>A departure is listed here if it changes anything an official run would do. Each entry gives the reason and the evidence. No architecture, loss, sampling scheme or optimiser was changed.</w:t>
      </w:r>
    </w:p>
    <w:p>
      <w:pPr>
        <w:pStyle w:val="Heading2"/>
        <w:spacing w:before="200" w:after="80"/>
      </w:pPr>
      <w:r>
        <w:rPr>
          <w:b/>
          <w:color w:val="1E3A8A"/>
          <w:sz w:val="26"/>
        </w:rPr>
        <w:t>A. Protocol-mandated, applied identically to the previous ten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Official behaviour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Frozen COMP8851 split registry: TR40 = 40/20/40, nested TR30–TR10, Elliptic chronological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SAGAD 100 labels, SpaceGNN 50/50, CRoC 1%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Comparability with Table 6. Our TR40 partitions equal the CARE-GNN/GHRN partitions node for node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phase2/data.py</w:t>
            </w:r>
            <w:r>
              <w:rPr>
                <w:b w:val="0"/>
                <w:sz w:val="18"/>
              </w:rPr>
              <w:t xml:space="preserve"> asserts sizes and fraud counts).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 xml:space="preserve">Checkpoint selection on </w:t>
            </w:r>
            <w:r>
              <w:rPr>
                <w:b/>
                <w:sz w:val="18"/>
              </w:rPr>
              <w:t>validation AUPRC</w:t>
            </w:r>
            <w:r>
              <w:rPr>
                <w:b w:val="0"/>
                <w:sz w:val="18"/>
              </w:rPr>
              <w:t>, evaluated every epoch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SAGAD val AUROC; SpaceGNN val AUC + Macro-F1 at epoch 25; CRoC val AUC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protocol.SELECTION_METRIC = "auprc"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Threshold sweep on validation (0.01–0.99, Macro-F1, then recall, then closeness to 0.5), applied unchanged to test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SpaceGNN and CRoC sweep 0.05–0.95 for Macro-F1; SAGAD reports none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Shared evaluator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Unified budget of at most 100 epochs, early-stopping patience 20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--budget protocol</w:t>
            </w:r>
            <w:r>
              <w:rPr>
                <w:b w:val="0"/>
                <w:sz w:val="18"/>
              </w:rPr>
              <w:t>, the default)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SAGAD 500/50 (T-Social 1000/50); SpaceGNN 25 epochs; CRoC 200–300 epochs, no early stopping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protocol.MAX_EPOCHS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EARLY_STOPPING_PATIENCE</w:t>
            </w:r>
            <w:r>
              <w:rPr>
                <w:b w:val="0"/>
                <w:sz w:val="18"/>
              </w:rPr>
              <w:t xml:space="preserve">; CARE-GNN and GHRN were run the same way.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--budget official</w:t>
            </w:r>
            <w:r>
              <w:rPr>
                <w:b w:val="0"/>
                <w:sz w:val="18"/>
              </w:rPr>
              <w:t xml:space="preserve"> reproduces the authors' budgets as a sensitivity track.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Seeds 2, 42, 72; at most 12 tuning trials on TR40 with seed 2; trial 0 is the official per-dataset configuration; test never scored during tuning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--skip-test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Authors' own seeds and grids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protocol.TRAIN_SEEDS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MAX_TUNING_TRIALS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A6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Canonical data: a homogeneous union view for SAGAD/SpaceGNN, and a relation view for CRoC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GADBench or DGL files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Byte-identical to the data of the previous runs (view hashes asserted).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A7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Model code receives labels for training nodes only; others are -1, or 0 together with an all-False mask for CRoC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Official scripts hold every label in memory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Makes validation/test leakage structurally impossible.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B. Adapter decisions where the official code has no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Model / data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812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 / FDCompCN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Hyperparameters from the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default</w:t>
            </w:r>
            <w:r>
              <w:rPr>
                <w:b w:val="0"/>
                <w:sz w:val="18"/>
              </w:rPr>
              <w:t xml:space="preserve"> block of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semi_train.conf.yaml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That block is what the official code merges under any dataset.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 / all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Trial 0 comes from the semi-supervised config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The fully supervised config was never released.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 / Elliptic, FDCompCN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argparse defaults (lr 1e-3, 3 layers, dropout 0.05, α=β=0.5), stdneg = stdpos = 0.015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Not in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PARAMETERS</w:t>
            </w:r>
            <w:r>
              <w:rPr>
                <w:b w:val="0"/>
                <w:sz w:val="18"/>
              </w:rPr>
              <w:t>; the official script would crash. 0.015 is the midpoint of the authors' sampling range.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/ FDCompCN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Relational branch: 3 semantic relations one-hot, min-max features, base model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preprocess.py</w:t>
            </w:r>
            <w:r>
              <w:rPr>
                <w:b w:val="0"/>
                <w:sz w:val="18"/>
              </w:rPr>
              <w:t xml:space="preserve"> routes the multi-relational graphs (yelp, amazon) this way.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B5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/ Elliptic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Single-relation branch: constant 2-d edge type, z-score features,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_Large</w:t>
            </w:r>
            <w:r>
              <w:rPr>
                <w:b w:val="0"/>
                <w:sz w:val="18"/>
              </w:rPr>
              <w:t xml:space="preserve"> model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main.py</w:t>
            </w:r>
            <w:r>
              <w:rPr>
                <w:b w:val="0"/>
                <w:sz w:val="18"/>
              </w:rPr>
              <w:t xml:space="preserve">'s rule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X if dataset in ['yelp','amazon'] else X_Large</w:t>
            </w:r>
            <w:r>
              <w:rPr>
                <w:b w:val="0"/>
                <w:sz w:val="18"/>
              </w:rPr>
              <w:t>, and the tfin/tsoc preprocessing.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B6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/ Elliptic, FDCompCN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main.py argparse defaults: CRoCGIN, α=0, γ=1, η=0.5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No Table 10 entry exists.</w:t>
            </w:r>
          </w:p>
        </w:tc>
      </w:tr>
      <w:tr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B7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/ T-Fin, T-Soc, Yelp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Backbone SAGE, GIN and GIN respectively</w:t>
            </w:r>
          </w:p>
        </w:tc>
        <w:tc>
          <w:tcPr>
            <w:tcW w:type="dxa" w:w="3812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Not stated in Table 10. Inferred from the paper's results tables, or the README quick start for Yelp. The backbone is part of the tuning search space.</w:t>
            </w:r>
          </w:p>
        </w:tc>
      </w:tr>
      <w:tr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B8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/ FDCompCN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The released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homo</w:t>
            </w:r>
            <w:r>
              <w:rPr>
                <w:b w:val="0"/>
                <w:sz w:val="18"/>
              </w:rPr>
              <w:t xml:space="preserve"> edge type is excluded</w:t>
            </w:r>
          </w:p>
        </w:tc>
        <w:tc>
          <w:tcPr>
            <w:tcW w:type="dxa" w:w="3812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It is exactly the union of the 3 semantic relations (verified in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phase2/data.py::semantic_relations</w:t>
            </w:r>
            <w:r>
              <w:rPr>
                <w:b w:val="0"/>
                <w:sz w:val="18"/>
              </w:rPr>
              <w:t>).</w:t>
            </w:r>
          </w:p>
        </w:tc>
      </w:tr>
    </w:tbl>
    <w:p>
      <w:pPr>
        <w:spacing w:before="40" w:after="80"/>
      </w:pPr>
    </w:p>
    <w:p>
      <w:pPr>
        <w:pStyle w:val="Heading2"/>
        <w:spacing w:before="200" w:after="80"/>
      </w:pPr>
      <w:r>
        <w:rPr>
          <w:b/>
          <w:color w:val="1E3A8A"/>
          <w:sz w:val="26"/>
        </w:rPr>
        <w:t>C. Engineering changes that do not alter the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508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5083"/>
            <w:shd w:val="clear" w:color="auto" w:fill="1E3A8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Evidence of equivalence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 MRQ sampling is vectorised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mrq_one_hop_exact</w:t>
            </w:r>
            <w:r>
              <w:rPr>
                <w:b w:val="0"/>
                <w:sz w:val="18"/>
              </w:rPr>
              <w:t>): same selection rule, same float32 operations, NaN-key centres delegated to the official Python routine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tests/test_sagad_mrq.py</w:t>
            </w:r>
            <w:r>
              <w:rPr>
                <w:b w:val="0"/>
                <w:sz w:val="18"/>
              </w:rPr>
              <w:t xml:space="preserve"> checks edge-for-edge equality with the official routine on all FDCompCN nodes, on sampled Amazon and YelpChi centres, and on a synthetic graph with ties and NaN keys. It also matches the full official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mrqsample</w:t>
            </w:r>
            <w:r>
              <w:rPr>
                <w:b w:val="0"/>
                <w:sz w:val="18"/>
              </w:rPr>
              <w:t xml:space="preserve"> on FDCompCN.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SAGAD MRQ is computed on a copy of the features: the official cache-hit behaviour, without the in-place mutation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The test records that the official call mutates its input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True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 validation uses the paper's/test-time α/β mixture; the official validation call swaps α and β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main.py</w:t>
            </w:r>
            <w:r>
              <w:rPr>
                <w:b w:val="0"/>
                <w:sz w:val="18"/>
              </w:rPr>
              <w:t xml:space="preserve"> lines 149 vs 157; paper Algorithm 4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 inference builds full one-hop blocks deterministically (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in_subgraph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to_block</w:t>
            </w:r>
            <w:r>
              <w:rPr>
                <w:b w:val="0"/>
                <w:sz w:val="18"/>
              </w:rPr>
              <w:t>); training keeps the official sampler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tests/test_adapters_unit.py</w:t>
            </w:r>
            <w:r>
              <w:rPr>
                <w:b w:val="0"/>
                <w:sz w:val="18"/>
              </w:rPr>
              <w:t xml:space="preserve"> shows the identical edge set and identical repeated predictions. Without this, one model's predictions differ by up to 4.7e-4 between two calls.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SpaceGNN inference batch size is fixed at 4096 (official: val 50, test 100,000) and recorded in the config hash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Batch composition changes the hyperbolic head by about 8e-5, through float32 ill-conditioning.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Execution on GPU for SpaceGNN (the official script is CPU-only)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Numerics are identical up to floating-point non-associativity.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C7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torch.use_deterministic_algorithms(True, warn_only=True)</w:t>
            </w:r>
            <w:r>
              <w:rPr>
                <w:b w:val="0"/>
                <w:sz w:val="18"/>
              </w:rPr>
              <w:t xml:space="preserve"> for SpaceGNN (official: strict)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A CUDA op without a deterministic kernel warns instead of aborting.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C8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dgl.seed</w:t>
            </w:r>
            <w:r>
              <w:rPr>
                <w:b w:val="0"/>
                <w:sz w:val="18"/>
              </w:rPr>
              <w:t xml:space="preserve"> set per epoch from (seed, epoch) for all models (CRoC never seeds DGL)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Makes runs reproducible and resumable.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tests/test_pipeline.py::test_resume_after_interruption</w:t>
            </w:r>
            <w:r>
              <w:rPr>
                <w:b w:val="0"/>
                <w:sz w:val="18"/>
              </w:rPr>
              <w:t xml:space="preserve"> shows a resumed run equals an uninterrupted one.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C9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DataLoader worker count is configurable (official: 4)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Batches are drawn in the main process.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Smoke tests only: induced node subsets (300,000 nodes of T-Social for every model, and 8,000 nodes of T-Finance for the local CPU SpaceGNN smoke)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Recorded as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smoke_subset_nodes</w:t>
            </w:r>
            <w:r>
              <w:rPr>
                <w:b w:val="0"/>
                <w:sz w:val="18"/>
              </w:rPr>
              <w:t xml:space="preserve"> in each affected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summary.json</w:t>
            </w:r>
            <w:r>
              <w:rPr>
                <w:b w:val="0"/>
                <w:sz w:val="18"/>
              </w:rPr>
              <w:t xml:space="preserve"> and shown in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audit/COMPATIBILITY_MATRIX.md</w:t>
            </w:r>
            <w:r>
              <w:rPr>
                <w:b w:val="0"/>
                <w:sz w:val="18"/>
              </w:rPr>
              <w:t>; never used for results.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 xml:space="preserve">SAGAD MRQ graph cached on disk, keyed by the SHA256 of the exact edge list and transformed features (the official code caches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./mrqs/&lt;dataset&gt;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Consolas" w:hAnsi="Consolas"/>
                <w:b w:val="0"/>
                <w:color w:val="1E3A8A"/>
                <w:sz w:val="17"/>
              </w:rPr>
              <w:t>tests/test_sagad_mrq.py::test_mrq_cache_returns_identical_edges</w:t>
            </w:r>
            <w:r>
              <w:rPr>
                <w:b w:val="0"/>
                <w:sz w:val="18"/>
              </w:rPr>
              <w:t xml:space="preserve"> checks identical edges, a real cache hit, and a key change on different input.</w:t>
            </w:r>
          </w:p>
        </w:tc>
      </w:tr>
      <w:tr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C12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CRoC all-node inference scores cached until the weights change, so validation and test after loading the best checkpoint share one pass. The repeat-noise measurement invalidates the cache and recomputes.</w:t>
            </w:r>
          </w:p>
        </w:tc>
        <w:tc>
          <w:tcPr>
            <w:tcW w:type="dxa" w:w="5083"/>
            <w:shd w:val="clear" w:color="auto" w:fill="F8FAFC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>The official evaluation scores every node in one pass, so the cache only avoids recomputing an identical pass.</w:t>
            </w:r>
          </w:p>
        </w:tc>
      </w:tr>
      <w:tr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>C13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left"/>
            </w:pPr>
            <w:r>
              <w:rPr>
                <w:b w:val="0"/>
                <w:sz w:val="18"/>
              </w:rPr>
              <w:t xml:space="preserve">Opt-in only: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configs/matrix.yaml: tuning_trials_override</w:t>
            </w:r>
            <w:r>
              <w:rPr>
                <w:b w:val="0"/>
                <w:sz w:val="18"/>
              </w:rPr>
              <w:t>. It is empty by default, which is the protocol's 12 trials.</w:t>
            </w:r>
          </w:p>
        </w:tc>
        <w:tc>
          <w:tcPr>
            <w:tcW w:type="dxa" w:w="5083"/>
            <w:shd w:val="clear" w:color="auto" w:fill="FFFFFF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pPr>
              <w:spacing w:before="20" w:after="20"/>
              <w:jc w:val="center"/>
            </w:pPr>
            <w:r>
              <w:rPr>
                <w:b w:val="0"/>
                <w:sz w:val="18"/>
              </w:rPr>
              <w:t xml:space="preserve">If used, it is written into that pair's </w:t>
            </w:r>
            <w:r>
              <w:rPr>
                <w:rFonts w:ascii="Consolas" w:hAnsi="Consolas"/>
                <w:b w:val="0"/>
                <w:color w:val="1E3A8A"/>
                <w:sz w:val="17"/>
              </w:rPr>
              <w:t>tuning_record.json</w:t>
            </w:r>
            <w:r>
              <w:rPr>
                <w:b w:val="0"/>
                <w:sz w:val="18"/>
              </w:rPr>
              <w:t xml:space="preserve"> as a deviation.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