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COMP8851 Assessment 2 – Evidence Freeze and Audit Guide</w:t>
      </w:r>
    </w:p>
    <w:p>
      <w:pPr>
        <w:jc w:val="center"/>
      </w:pPr>
      <w:r>
        <w:rPr>
          <w:rFonts w:ascii="Arial" w:hAnsi="Arial"/>
          <w:i/>
          <w:sz w:val="20"/>
        </w:rPr>
        <w:t>Explanation-led working document based directly on the submitted Assessment 2 report</w:t>
      </w:r>
    </w:p>
    <w:p/>
    <w:p>
      <w:r>
        <w:rPr>
          <w:b/>
        </w:rPr>
        <w:t xml:space="preserve">Why this document exists. </w:t>
      </w:r>
      <w:r>
        <w:t>Assessment 2 already achieved a broad 10-model × 6-dataset benchmark, but the report deliberately separates several evidence modes: shared three-seed results, single native-protocol runs, non-canonical splits or subsamples, documented failures, and cells with no reportable result. That distinction is scientifically important. Before adding new models or datasets, the current benchmark should be frozen so every claim can be traced back to the exact dataset, split, seed set, configuration, metric file and cost record that produced it.</w:t>
      </w:r>
    </w:p>
    <w:tbl>
      <w:tblPr>
        <w:tblStyle w:val="TableGrid"/>
        <w:tblW w:type="auto" w:w="0"/>
        <w:tblLook w:firstColumn="1" w:firstRow="1" w:lastColumn="0" w:lastRow="0" w:noHBand="0" w:noVBand="1" w:val="04A0"/>
      </w:tblPr>
      <w:tblGrid>
        <w:gridCol w:w="10368"/>
      </w:tblGrid>
      <w:tr>
        <w:tc>
          <w:tcPr>
            <w:tcW w:type="dxa" w:w="10368"/>
            <w:shd w:fill="F2F2F2"/>
          </w:tcPr>
          <w:p>
            <w:r>
              <w:rPr>
                <w:rFonts w:ascii="Arial" w:hAnsi="Arial"/>
                <w:b/>
                <w:sz w:val="19"/>
              </w:rPr>
              <w:t xml:space="preserve">Source anchor: </w:t>
            </w:r>
            <w:r>
              <w:rPr>
                <w:rFonts w:ascii="Arial" w:hAnsi="Arial"/>
                <w:sz w:val="19"/>
              </w:rPr>
              <w:t>The submitted report states that all 60 model–dataset pairs were evaluated, with 56 reportable metric cells, two documented T-Social failures (CARE-GNN and GHRN), and two cells with no reportable result. It also states that weaker evidence such as single runs and model-specific splits is marked separately (Assessment 2, pp. 5, 9, 12–14).</w:t>
            </w:r>
          </w:p>
        </w:tc>
      </w:tr>
    </w:tbl>
    <w:p/>
    <w:p>
      <w:pPr>
        <w:pStyle w:val="Heading1"/>
      </w:pPr>
      <w:r>
        <w:t>1. What must be frozen, and why</w:t>
      </w:r>
    </w:p>
    <w:p>
      <w:r>
        <w:rPr>
          <w:b/>
        </w:rPr>
        <w:t xml:space="preserve">The freeze is not just a backup. </w:t>
      </w:r>
      <w:r>
        <w:t>It defines the exact evidence state at the end of Assessment 2. Once the team begins canonical reruns, lower-ratio completion, ablations or new-model work, the old and new evidence can easily become mixed. A freeze prevents a later result from silently replacing the evidence that supported the submitted report.</w:t>
      </w:r>
    </w:p>
    <w:p>
      <w:pPr>
        <w:pStyle w:val="ListBullet"/>
        <w:spacing w:after="40"/>
      </w:pPr>
      <w:r>
        <w:rPr>
          <w:rFonts w:ascii="Arial" w:hAnsi="Arial"/>
          <w:sz w:val="20"/>
        </w:rPr>
        <w:t>Dataset identity: the exact canonical source file, processed graph and checksum used for each dataset.</w:t>
      </w:r>
    </w:p>
    <w:p>
      <w:pPr>
        <w:pStyle w:val="ListBullet"/>
        <w:spacing w:after="40"/>
      </w:pPr>
      <w:r>
        <w:rPr>
          <w:rFonts w:ascii="Arial" w:hAnsi="Arial"/>
          <w:sz w:val="20"/>
        </w:rPr>
        <w:t>Split identity: the exact split file and checksum, including the chronological rule for Elliptic and the corrected T-Finance label state.</w:t>
      </w:r>
    </w:p>
    <w:p>
      <w:pPr>
        <w:pStyle w:val="ListBullet"/>
        <w:spacing w:after="40"/>
      </w:pPr>
      <w:r>
        <w:rPr>
          <w:rFonts w:ascii="Arial" w:hAnsi="Arial"/>
          <w:sz w:val="20"/>
        </w:rPr>
        <w:t>Run identity: model repository commit, adapter version, hyperparameters, ratio, seed, checkpoint and threshold-selection record.</w:t>
      </w:r>
    </w:p>
    <w:p>
      <w:pPr>
        <w:pStyle w:val="ListBullet"/>
        <w:spacing w:after="40"/>
      </w:pPr>
      <w:r>
        <w:rPr>
          <w:rFonts w:ascii="Arial" w:hAnsi="Arial"/>
          <w:sz w:val="20"/>
        </w:rPr>
        <w:t>Outcome identity: raw per-seed metrics, mean ± sample SD, failure logs, and whether the result is shared-protocol, native, non-canonical or subsampled.</w:t>
      </w:r>
    </w:p>
    <w:p>
      <w:pPr>
        <w:pStyle w:val="ListBullet"/>
        <w:spacing w:after="40"/>
      </w:pPr>
      <w:r>
        <w:rPr>
          <w:rFonts w:ascii="Arial" w:hAnsi="Arial"/>
          <w:sz w:val="20"/>
        </w:rPr>
        <w:t>Cost identity: preprocessing/setup, training-only time, validation/inference time and peak GPU memory, with the timing boundary written explicitly.</w:t>
      </w:r>
    </w:p>
    <w:p>
      <w:pPr>
        <w:pStyle w:val="Heading1"/>
      </w:pPr>
      <w:r>
        <w:t>2. Why the evidence modes cannot be merged</w:t>
      </w:r>
    </w:p>
    <w:p>
      <w:r>
        <w:rPr>
          <w:b/>
        </w:rPr>
        <w:t xml:space="preserve">Shared three-seed evidence. </w:t>
      </w:r>
      <w:r>
        <w:t>This is the strongest comparison mode in the report: three training seeds (2, 42 and 72), common split logic, validation-only selection and AUPRC as the primary metric. These results can be compared directly when the same split/evaluator assumptions hold.</w:t>
      </w:r>
    </w:p>
    <w:p>
      <w:r>
        <w:rPr>
          <w:b/>
        </w:rPr>
        <w:t xml:space="preserve">Single native-protocol evidence (*). </w:t>
      </w:r>
      <w:r>
        <w:t>GAGA and most DGA-GNN cells are reported as single native runs. Their high AUPRC values are useful evidence, but the report explicitly does not rank them against three-seed shared-protocol rows because seed variation and split differences are not controlled in the same way.</w:t>
      </w:r>
    </w:p>
    <w:p>
      <w:r>
        <w:rPr>
          <w:b/>
        </w:rPr>
        <w:t xml:space="preserve">Non-canonical evidence (†). </w:t>
      </w:r>
      <w:r>
        <w:t>FRAUDRE on Elliptic, DGA-GNN on FDCompCN and all SplitGNN entries carry non-canonical conditions. SplitGNN also uses a 15% T-Social subsample. These results answer 'what happened under that implementation setup', not 'which model wins under the shared benchmark'.</w:t>
      </w:r>
    </w:p>
    <w:p>
      <w:r>
        <w:rPr>
          <w:b/>
        </w:rPr>
        <w:t xml:space="preserve">Failures and missing results. </w:t>
      </w:r>
      <w:r>
        <w:t>CARE-GNN and GHRN on T-Social are not low scores; they are execution outcomes. CARE-GNN hit a compute-budget limit during large validation, while GHRN hit a memory limit at published width and then an indexing failure after width reduction. A failed execution must remain a different evidence type from a numerical result.</w:t>
      </w:r>
    </w:p>
    <w:p>
      <w:pPr>
        <w:pStyle w:val="Heading1"/>
      </w:pPr>
      <w:r>
        <w:t>3. Current benchmark state from the submitted report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DEBF7"/>
            <w:vAlign w:val="center"/>
          </w:tcPr>
          <w:p>
            <w:r/>
            <w:r>
              <w:rPr>
                <w:rFonts w:ascii="Arial" w:hAnsi="Arial"/>
                <w:b/>
                <w:sz w:val="16"/>
              </w:rPr>
              <w:t>Model</w:t>
            </w:r>
          </w:p>
        </w:tc>
        <w:tc>
          <w:tcPr>
            <w:tcW w:type="dxa" w:w="2592"/>
            <w:shd w:fill="DDEBF7"/>
            <w:vAlign w:val="center"/>
          </w:tcPr>
          <w:p>
            <w:r/>
            <w:r>
              <w:rPr>
                <w:rFonts w:ascii="Arial" w:hAnsi="Arial"/>
                <w:b/>
                <w:sz w:val="16"/>
              </w:rPr>
              <w:t>What Ass2 currently establishes</w:t>
            </w:r>
          </w:p>
        </w:tc>
        <w:tc>
          <w:tcPr>
            <w:tcW w:type="dxa" w:w="2592"/>
            <w:shd w:fill="DDEBF7"/>
            <w:vAlign w:val="center"/>
          </w:tcPr>
          <w:p>
            <w:r/>
            <w:r>
              <w:rPr>
                <w:rFonts w:ascii="Arial" w:hAnsi="Arial"/>
                <w:b/>
                <w:sz w:val="16"/>
              </w:rPr>
              <w:t>Why it needs auditing</w:t>
            </w:r>
          </w:p>
        </w:tc>
        <w:tc>
          <w:tcPr>
            <w:tcW w:type="dxa" w:w="2592"/>
            <w:shd w:fill="DDEBF7"/>
            <w:vAlign w:val="center"/>
          </w:tcPr>
          <w:p>
            <w:r/>
            <w:r>
              <w:rPr>
                <w:rFonts w:ascii="Arial" w:hAnsi="Arial"/>
                <w:b/>
                <w:sz w:val="16"/>
              </w:rPr>
              <w:t>Freeze action</w:t>
            </w:r>
          </w:p>
        </w:tc>
      </w:tr>
      <w:tr>
        <w:trPr>
          <w:cantSplit/>
        </w:trPr>
        <w:tc>
          <w:tcPr>
            <w:tcW w:type="dxa" w:w="2592"/>
            <w:vAlign w:val="center"/>
          </w:tcPr>
          <w:p>
            <w:r/>
            <w:r>
              <w:rPr>
                <w:rFonts w:ascii="Arial" w:hAnsi="Arial"/>
                <w:sz w:val="16"/>
              </w:rPr>
              <w:t>CARE-GNN</w:t>
            </w:r>
          </w:p>
        </w:tc>
        <w:tc>
          <w:tcPr>
            <w:tcW w:type="dxa" w:w="2592"/>
            <w:vAlign w:val="center"/>
          </w:tcPr>
          <w:p>
            <w:r/>
            <w:r>
              <w:rPr>
                <w:rFonts w:ascii="Arial" w:hAnsi="Arial"/>
                <w:sz w:val="16"/>
              </w:rPr>
              <w:t>5 shared TR40 results; T-Social failed</w:t>
            </w:r>
          </w:p>
        </w:tc>
        <w:tc>
          <w:tcPr>
            <w:tcW w:type="dxa" w:w="2592"/>
            <w:vAlign w:val="center"/>
          </w:tcPr>
          <w:p>
            <w:r/>
            <w:r>
              <w:rPr>
                <w:rFonts w:ascii="Arial" w:hAnsi="Arial"/>
                <w:sz w:val="16"/>
              </w:rPr>
              <w:t>Amazon SD 0.232; T-Social compute-budget failure</w:t>
            </w:r>
          </w:p>
        </w:tc>
        <w:tc>
          <w:tcPr>
            <w:tcW w:type="dxa" w:w="2592"/>
            <w:vAlign w:val="center"/>
          </w:tcPr>
          <w:p>
            <w:r/>
            <w:r>
              <w:rPr>
                <w:rFonts w:ascii="Arial" w:hAnsi="Arial"/>
                <w:sz w:val="16"/>
              </w:rPr>
              <w:t>Freeze five result cells; retain T-Social failure logs; complete lower-ratio ladders later.</w:t>
            </w:r>
          </w:p>
        </w:tc>
      </w:tr>
      <w:tr>
        <w:trPr>
          <w:cantSplit/>
        </w:trPr>
        <w:tc>
          <w:tcPr>
            <w:tcW w:type="dxa" w:w="2592"/>
            <w:vAlign w:val="center"/>
          </w:tcPr>
          <w:p>
            <w:r/>
            <w:r>
              <w:rPr>
                <w:rFonts w:ascii="Arial" w:hAnsi="Arial"/>
                <w:sz w:val="16"/>
              </w:rPr>
              <w:t>FRAUDRE</w:t>
            </w:r>
          </w:p>
        </w:tc>
        <w:tc>
          <w:tcPr>
            <w:tcW w:type="dxa" w:w="2592"/>
            <w:vAlign w:val="center"/>
          </w:tcPr>
          <w:p>
            <w:r/>
            <w:r>
              <w:rPr>
                <w:rFonts w:ascii="Arial" w:hAnsi="Arial"/>
                <w:sz w:val="16"/>
              </w:rPr>
              <w:t>Five canonical/shared-style TR40 results plus non-canonical Elliptic</w:t>
            </w:r>
          </w:p>
        </w:tc>
        <w:tc>
          <w:tcPr>
            <w:tcW w:type="dxa" w:w="2592"/>
            <w:vAlign w:val="center"/>
          </w:tcPr>
          <w:p>
            <w:r/>
            <w:r>
              <w:rPr>
                <w:rFonts w:ascii="Arial" w:hAnsi="Arial"/>
                <w:sz w:val="16"/>
              </w:rPr>
              <w:t>Elliptic 0.021±0.002†; T-Social 0.925±0.070</w:t>
            </w:r>
          </w:p>
        </w:tc>
        <w:tc>
          <w:tcPr>
            <w:tcW w:type="dxa" w:w="2592"/>
            <w:vAlign w:val="center"/>
          </w:tcPr>
          <w:p>
            <w:r/>
            <w:r>
              <w:rPr>
                <w:rFonts w:ascii="Arial" w:hAnsi="Arial"/>
                <w:sz w:val="16"/>
              </w:rPr>
              <w:t>Separate Elliptic from canonical ranking; verify which datasets already have full ladders.</w:t>
            </w:r>
          </w:p>
        </w:tc>
      </w:tr>
      <w:tr>
        <w:trPr>
          <w:cantSplit/>
        </w:trPr>
        <w:tc>
          <w:tcPr>
            <w:tcW w:type="dxa" w:w="2592"/>
            <w:vAlign w:val="center"/>
          </w:tcPr>
          <w:p>
            <w:r/>
            <w:r>
              <w:rPr>
                <w:rFonts w:ascii="Arial" w:hAnsi="Arial"/>
                <w:sz w:val="16"/>
              </w:rPr>
              <w:t>PC-GNN</w:t>
            </w:r>
          </w:p>
        </w:tc>
        <w:tc>
          <w:tcPr>
            <w:tcW w:type="dxa" w:w="2592"/>
            <w:vAlign w:val="center"/>
          </w:tcPr>
          <w:p>
            <w:r/>
            <w:r>
              <w:rPr>
                <w:rFonts w:ascii="Arial" w:hAnsi="Arial"/>
                <w:sz w:val="16"/>
              </w:rPr>
              <w:t>Five reportable datasets; no reportable T-Social result</w:t>
            </w:r>
          </w:p>
        </w:tc>
        <w:tc>
          <w:tcPr>
            <w:tcW w:type="dxa" w:w="2592"/>
            <w:vAlign w:val="center"/>
          </w:tcPr>
          <w:p>
            <w:r/>
            <w:r>
              <w:rPr>
                <w:rFonts w:ascii="Arial" w:hAnsi="Arial"/>
                <w:sz w:val="16"/>
              </w:rPr>
              <w:t>Strong Amazon/T-Finance; T-Social blank</w:t>
            </w:r>
          </w:p>
        </w:tc>
        <w:tc>
          <w:tcPr>
            <w:tcW w:type="dxa" w:w="2592"/>
            <w:vAlign w:val="center"/>
          </w:tcPr>
          <w:p>
            <w:r/>
            <w:r>
              <w:rPr>
                <w:rFonts w:ascii="Arial" w:hAnsi="Arial"/>
                <w:sz w:val="16"/>
              </w:rPr>
              <w:t>Freeze five result cells; audit T-Social compatibility state before any rerun.</w:t>
            </w:r>
          </w:p>
        </w:tc>
      </w:tr>
      <w:tr>
        <w:trPr>
          <w:cantSplit/>
        </w:trPr>
        <w:tc>
          <w:tcPr>
            <w:tcW w:type="dxa" w:w="2592"/>
            <w:vAlign w:val="center"/>
          </w:tcPr>
          <w:p>
            <w:r/>
            <w:r>
              <w:rPr>
                <w:rFonts w:ascii="Arial" w:hAnsi="Arial"/>
                <w:sz w:val="16"/>
              </w:rPr>
              <w:t>GAGA</w:t>
            </w:r>
          </w:p>
        </w:tc>
        <w:tc>
          <w:tcPr>
            <w:tcW w:type="dxa" w:w="2592"/>
            <w:vAlign w:val="center"/>
          </w:tcPr>
          <w:p>
            <w:r/>
            <w:r>
              <w:rPr>
                <w:rFonts w:ascii="Arial" w:hAnsi="Arial"/>
                <w:sz w:val="16"/>
              </w:rPr>
              <w:t>Five single native results; T-Social blank</w:t>
            </w:r>
          </w:p>
        </w:tc>
        <w:tc>
          <w:tcPr>
            <w:tcW w:type="dxa" w:w="2592"/>
            <w:vAlign w:val="center"/>
          </w:tcPr>
          <w:p>
            <w:r/>
            <w:r>
              <w:rPr>
                <w:rFonts w:ascii="Arial" w:hAnsi="Arial"/>
                <w:sz w:val="16"/>
              </w:rPr>
              <w:t>All reported cells are *</w:t>
            </w:r>
          </w:p>
        </w:tc>
        <w:tc>
          <w:tcPr>
            <w:tcW w:type="dxa" w:w="2592"/>
            <w:vAlign w:val="center"/>
          </w:tcPr>
          <w:p>
            <w:r/>
            <w:r>
              <w:rPr>
                <w:rFonts w:ascii="Arial" w:hAnsi="Arial"/>
                <w:sz w:val="16"/>
              </w:rPr>
              <w:t>Treat as reproduction evidence, not canonical benchmark; future shared-protocol reruns needed.</w:t>
            </w:r>
          </w:p>
        </w:tc>
      </w:tr>
      <w:tr>
        <w:trPr>
          <w:cantSplit/>
        </w:trPr>
        <w:tc>
          <w:tcPr>
            <w:tcW w:type="dxa" w:w="2592"/>
            <w:vAlign w:val="center"/>
          </w:tcPr>
          <w:p>
            <w:r/>
            <w:r>
              <w:rPr>
                <w:rFonts w:ascii="Arial" w:hAnsi="Arial"/>
                <w:sz w:val="16"/>
              </w:rPr>
              <w:t>DGA-GNN</w:t>
            </w:r>
          </w:p>
        </w:tc>
        <w:tc>
          <w:tcPr>
            <w:tcW w:type="dxa" w:w="2592"/>
            <w:vAlign w:val="center"/>
          </w:tcPr>
          <w:p>
            <w:r/>
            <w:r>
              <w:rPr>
                <w:rFonts w:ascii="Arial" w:hAnsi="Arial"/>
                <w:sz w:val="16"/>
              </w:rPr>
              <w:t>Five single native results + FDCompCN non-canonical/unstable result</w:t>
            </w:r>
          </w:p>
        </w:tc>
        <w:tc>
          <w:tcPr>
            <w:tcW w:type="dxa" w:w="2592"/>
            <w:vAlign w:val="center"/>
          </w:tcPr>
          <w:p>
            <w:r/>
            <w:r>
              <w:rPr>
                <w:rFonts w:ascii="Arial" w:hAnsi="Arial"/>
                <w:sz w:val="16"/>
              </w:rPr>
              <w:t>Highest native scores on five datasets; FDCompCN 0.298±0.147†</w:t>
            </w:r>
          </w:p>
        </w:tc>
        <w:tc>
          <w:tcPr>
            <w:tcW w:type="dxa" w:w="2592"/>
            <w:vAlign w:val="center"/>
          </w:tcPr>
          <w:p>
            <w:r/>
            <w:r>
              <w:rPr>
                <w:rFonts w:ascii="Arial" w:hAnsi="Arial"/>
                <w:sz w:val="16"/>
              </w:rPr>
              <w:t>Keep native and local-split evidence distinct; canonical reruns needed before ranking.</w:t>
            </w:r>
          </w:p>
        </w:tc>
      </w:tr>
      <w:tr>
        <w:trPr>
          <w:cantSplit/>
        </w:trPr>
        <w:tc>
          <w:tcPr>
            <w:tcW w:type="dxa" w:w="2592"/>
            <w:vAlign w:val="center"/>
          </w:tcPr>
          <w:p>
            <w:r/>
            <w:r>
              <w:rPr>
                <w:rFonts w:ascii="Arial" w:hAnsi="Arial"/>
                <w:sz w:val="16"/>
              </w:rPr>
              <w:t>GAAP</w:t>
            </w:r>
          </w:p>
        </w:tc>
        <w:tc>
          <w:tcPr>
            <w:tcW w:type="dxa" w:w="2592"/>
            <w:vAlign w:val="center"/>
          </w:tcPr>
          <w:p>
            <w:r/>
            <w:r>
              <w:rPr>
                <w:rFonts w:ascii="Arial" w:hAnsi="Arial"/>
                <w:sz w:val="16"/>
              </w:rPr>
              <w:t>Strong shared three-seed results on all six</w:t>
            </w:r>
          </w:p>
        </w:tc>
        <w:tc>
          <w:tcPr>
            <w:tcW w:type="dxa" w:w="2592"/>
            <w:vAlign w:val="center"/>
          </w:tcPr>
          <w:p>
            <w:r/>
            <w:r>
              <w:rPr>
                <w:rFonts w:ascii="Arial" w:hAnsi="Arial"/>
                <w:sz w:val="16"/>
              </w:rPr>
              <w:t>Best shared mean on YelpChi, Elliptic, FDCompCN, T-Social</w:t>
            </w:r>
          </w:p>
        </w:tc>
        <w:tc>
          <w:tcPr>
            <w:tcW w:type="dxa" w:w="2592"/>
            <w:vAlign w:val="center"/>
          </w:tcPr>
          <w:p>
            <w:r/>
            <w:r>
              <w:rPr>
                <w:rFonts w:ascii="Arial" w:hAnsi="Arial"/>
                <w:sz w:val="16"/>
              </w:rPr>
              <w:t>Freeze all raw seed outputs; resolve T-Social ratio-coverage inconsistency in the report.</w:t>
            </w:r>
          </w:p>
        </w:tc>
      </w:tr>
      <w:tr>
        <w:trPr>
          <w:cantSplit/>
        </w:trPr>
        <w:tc>
          <w:tcPr>
            <w:tcW w:type="dxa" w:w="2592"/>
            <w:vAlign w:val="center"/>
          </w:tcPr>
          <w:p>
            <w:r/>
            <w:r>
              <w:rPr>
                <w:rFonts w:ascii="Arial" w:hAnsi="Arial"/>
                <w:sz w:val="16"/>
              </w:rPr>
              <w:t>BWGNN</w:t>
            </w:r>
          </w:p>
        </w:tc>
        <w:tc>
          <w:tcPr>
            <w:tcW w:type="dxa" w:w="2592"/>
            <w:vAlign w:val="center"/>
          </w:tcPr>
          <w:p>
            <w:r/>
            <w:r>
              <w:rPr>
                <w:rFonts w:ascii="Arial" w:hAnsi="Arial"/>
                <w:sz w:val="16"/>
              </w:rPr>
              <w:t>Shared three-seed results across all six; full ladder reported</w:t>
            </w:r>
          </w:p>
        </w:tc>
        <w:tc>
          <w:tcPr>
            <w:tcW w:type="dxa" w:w="2592"/>
            <w:vAlign w:val="center"/>
          </w:tcPr>
          <w:p>
            <w:r/>
            <w:r>
              <w:rPr>
                <w:rFonts w:ascii="Arial" w:hAnsi="Arial"/>
                <w:sz w:val="16"/>
              </w:rPr>
              <w:t>T-Social 0.714±0.059; fastest cost tier on smaller datasets</w:t>
            </w:r>
          </w:p>
        </w:tc>
        <w:tc>
          <w:tcPr>
            <w:tcW w:type="dxa" w:w="2592"/>
            <w:vAlign w:val="center"/>
          </w:tcPr>
          <w:p>
            <w:r/>
            <w:r>
              <w:rPr>
                <w:rFonts w:ascii="Arial" w:hAnsi="Arial"/>
                <w:sz w:val="16"/>
              </w:rPr>
              <w:t>Use as a reference model for scarcity and cost because coverage is comparatively complete.</w:t>
            </w:r>
          </w:p>
        </w:tc>
      </w:tr>
      <w:tr>
        <w:trPr>
          <w:cantSplit/>
        </w:trPr>
        <w:tc>
          <w:tcPr>
            <w:tcW w:type="dxa" w:w="2592"/>
            <w:vAlign w:val="center"/>
          </w:tcPr>
          <w:p>
            <w:r/>
            <w:r>
              <w:rPr>
                <w:rFonts w:ascii="Arial" w:hAnsi="Arial"/>
                <w:sz w:val="16"/>
              </w:rPr>
              <w:t>GHRN</w:t>
            </w:r>
          </w:p>
        </w:tc>
        <w:tc>
          <w:tcPr>
            <w:tcW w:type="dxa" w:w="2592"/>
            <w:vAlign w:val="center"/>
          </w:tcPr>
          <w:p>
            <w:r/>
            <w:r>
              <w:rPr>
                <w:rFonts w:ascii="Arial" w:hAnsi="Arial"/>
                <w:sz w:val="16"/>
              </w:rPr>
              <w:t>Five shared TR40 results; T-Social failed</w:t>
            </w:r>
          </w:p>
        </w:tc>
        <w:tc>
          <w:tcPr>
            <w:tcW w:type="dxa" w:w="2592"/>
            <w:vAlign w:val="center"/>
          </w:tcPr>
          <w:p>
            <w:r/>
            <w:r>
              <w:rPr>
                <w:rFonts w:ascii="Arial" w:hAnsi="Arial"/>
                <w:sz w:val="16"/>
              </w:rPr>
              <w:t>T-Finance SD 0.206; T-Social memory/indexing failure</w:t>
            </w:r>
          </w:p>
        </w:tc>
        <w:tc>
          <w:tcPr>
            <w:tcW w:type="dxa" w:w="2592"/>
            <w:vAlign w:val="center"/>
          </w:tcPr>
          <w:p>
            <w:r/>
            <w:r>
              <w:rPr>
                <w:rFonts w:ascii="Arial" w:hAnsi="Arial"/>
                <w:sz w:val="16"/>
              </w:rPr>
              <w:t>Freeze result cells and failure evidence; complete lower-ratio ladders.</w:t>
            </w:r>
          </w:p>
        </w:tc>
      </w:tr>
      <w:tr>
        <w:trPr>
          <w:cantSplit/>
        </w:trPr>
        <w:tc>
          <w:tcPr>
            <w:tcW w:type="dxa" w:w="2592"/>
            <w:vAlign w:val="center"/>
          </w:tcPr>
          <w:p>
            <w:r/>
            <w:r>
              <w:rPr>
                <w:rFonts w:ascii="Arial" w:hAnsi="Arial"/>
                <w:sz w:val="16"/>
              </w:rPr>
              <w:t>PMP</w:t>
            </w:r>
          </w:p>
        </w:tc>
        <w:tc>
          <w:tcPr>
            <w:tcW w:type="dxa" w:w="2592"/>
            <w:vAlign w:val="center"/>
          </w:tcPr>
          <w:p>
            <w:r/>
            <w:r>
              <w:rPr>
                <w:rFonts w:ascii="Arial" w:hAnsi="Arial"/>
                <w:sz w:val="16"/>
              </w:rPr>
              <w:t>Shared three-seed results across all six</w:t>
            </w:r>
          </w:p>
        </w:tc>
        <w:tc>
          <w:tcPr>
            <w:tcW w:type="dxa" w:w="2592"/>
            <w:vAlign w:val="center"/>
          </w:tcPr>
          <w:p>
            <w:r/>
            <w:r>
              <w:rPr>
                <w:rFonts w:ascii="Arial" w:hAnsi="Arial"/>
                <w:sz w:val="16"/>
              </w:rPr>
              <w:t>T-Finance 0.901±0.010; T-Social 0.919±0.052</w:t>
            </w:r>
          </w:p>
        </w:tc>
        <w:tc>
          <w:tcPr>
            <w:tcW w:type="dxa" w:w="2592"/>
            <w:vAlign w:val="center"/>
          </w:tcPr>
          <w:p>
            <w:r/>
            <w:r>
              <w:rPr>
                <w:rFonts w:ascii="Arial" w:hAnsi="Arial"/>
                <w:sz w:val="16"/>
              </w:rPr>
              <w:t>Freeze raw evidence; resolve T-Social ratio-coverage inconsistency.</w:t>
            </w:r>
          </w:p>
        </w:tc>
      </w:tr>
      <w:tr>
        <w:trPr>
          <w:cantSplit/>
        </w:trPr>
        <w:tc>
          <w:tcPr>
            <w:tcW w:type="dxa" w:w="2592"/>
            <w:vAlign w:val="center"/>
          </w:tcPr>
          <w:p>
            <w:r/>
            <w:r>
              <w:rPr>
                <w:rFonts w:ascii="Arial" w:hAnsi="Arial"/>
                <w:sz w:val="16"/>
              </w:rPr>
              <w:t>SplitGNN</w:t>
            </w:r>
          </w:p>
        </w:tc>
        <w:tc>
          <w:tcPr>
            <w:tcW w:type="dxa" w:w="2592"/>
            <w:vAlign w:val="center"/>
          </w:tcPr>
          <w:p>
            <w:r/>
            <w:r>
              <w:rPr>
                <w:rFonts w:ascii="Arial" w:hAnsi="Arial"/>
                <w:sz w:val="16"/>
              </w:rPr>
              <w:t>Six reportable but non-canonical cells</w:t>
            </w:r>
          </w:p>
        </w:tc>
        <w:tc>
          <w:tcPr>
            <w:tcW w:type="dxa" w:w="2592"/>
            <w:vAlign w:val="center"/>
          </w:tcPr>
          <w:p>
            <w:r/>
            <w:r>
              <w:rPr>
                <w:rFonts w:ascii="Arial" w:hAnsi="Arial"/>
                <w:sz w:val="16"/>
              </w:rPr>
              <w:t>Own splits everywhere; random Elliptic; 15% T-Social subsample</w:t>
            </w:r>
          </w:p>
        </w:tc>
        <w:tc>
          <w:tcPr>
            <w:tcW w:type="dxa" w:w="2592"/>
            <w:vAlign w:val="center"/>
          </w:tcPr>
          <w:p>
            <w:r/>
            <w:r>
              <w:rPr>
                <w:rFonts w:ascii="Arial" w:hAnsi="Arial"/>
                <w:sz w:val="16"/>
              </w:rPr>
              <w:t>Keep as a separate evidence mode until canonical reruns are possible.</w:t>
            </w:r>
          </w:p>
        </w:tc>
      </w:tr>
    </w:tbl>
    <w:p/>
    <w:p>
      <w:pPr>
        <w:pStyle w:val="Heading1"/>
      </w:pPr>
      <w:r>
        <w:t>4. Dataset-level audit reasoning</w:t>
      </w:r>
    </w:p>
    <w:p>
      <w:pPr>
        <w:pStyle w:val="Heading2"/>
      </w:pPr>
      <w:r>
        <w:t>4.1 T-Finance: highest-priority data audit</w:t>
      </w:r>
    </w:p>
    <w:p>
      <w:r>
        <w:rPr>
          <w:b/>
        </w:rPr>
        <w:t xml:space="preserve">Why this is first. </w:t>
      </w:r>
      <w:r>
        <w:t>The report records a corrected fraud count of 1,804 for T-Finance and lists revalidation of the split as Pathik's remaining work. Because split membership depends on labels, the team must prove that every T-Finance result used the corrected label vector and the intended frozen split. If the split changed after the correction, some earlier metrics may no longer be benchmark-comparable.</w:t>
      </w:r>
    </w:p>
    <w:p>
      <w:pPr>
        <w:pStyle w:val="ListBullet"/>
        <w:spacing w:after="40"/>
      </w:pPr>
      <w:r>
        <w:rPr>
          <w:rFonts w:ascii="Arial" w:hAnsi="Arial"/>
          <w:sz w:val="20"/>
        </w:rPr>
        <w:t>Verify the processed graph independently reproduces 1,804 fraud nodes.</w:t>
      </w:r>
    </w:p>
    <w:p>
      <w:pPr>
        <w:pStyle w:val="ListBullet"/>
        <w:spacing w:after="40"/>
      </w:pPr>
      <w:r>
        <w:rPr>
          <w:rFonts w:ascii="Arial" w:hAnsi="Arial"/>
          <w:sz w:val="20"/>
        </w:rPr>
        <w:t>Record source SHA256 and processed-graph SHA256.</w:t>
      </w:r>
    </w:p>
    <w:p>
      <w:pPr>
        <w:pStyle w:val="ListBullet"/>
        <w:spacing w:after="40"/>
      </w:pPr>
      <w:r>
        <w:rPr>
          <w:rFonts w:ascii="Arial" w:hAnsi="Arial"/>
          <w:sz w:val="20"/>
        </w:rPr>
        <w:t>Verify the split file was generated from the corrected label vector with split seed 2.</w:t>
      </w:r>
    </w:p>
    <w:p>
      <w:pPr>
        <w:pStyle w:val="ListBullet"/>
        <w:spacing w:after="40"/>
      </w:pPr>
      <w:r>
        <w:rPr>
          <w:rFonts w:ascii="Arial" w:hAnsi="Arial"/>
          <w:sz w:val="20"/>
        </w:rPr>
        <w:t>If the split differs, mark all affected T-Finance runs stale before rerunning.</w:t>
      </w:r>
    </w:p>
    <w:p>
      <w:pPr>
        <w:pStyle w:val="ListBullet"/>
        <w:spacing w:after="40"/>
      </w:pPr>
      <w:r>
        <w:rPr>
          <w:rFonts w:ascii="Arial" w:hAnsi="Arial"/>
          <w:sz w:val="20"/>
        </w:rPr>
        <w:t>Do not change model hyperparameters merely because the corrected split changes performance.</w:t>
      </w:r>
    </w:p>
    <w:p>
      <w:pPr>
        <w:pStyle w:val="Heading2"/>
      </w:pPr>
      <w:r>
        <w:t>4.2 Elliptic: chronology is part of the benchmark definition</w:t>
      </w:r>
    </w:p>
    <w:p>
      <w:r>
        <w:rPr>
          <w:b/>
        </w:rPr>
        <w:t xml:space="preserve">Why this is special. </w:t>
      </w:r>
      <w:r>
        <w:t>Elliptic is not an ordinary random node split. Assessment 2 defines training on time steps 1–20, validation on 21–31 and test on 32–49. At lower ratios, reducing training data also shortens historical coverage, so the TR40→TR10 decline is partly a temporal-coverage effect. Any model that uses a random Elliptic split is therefore answering a different question.</w:t>
      </w:r>
    </w:p>
    <w:p>
      <w:pPr>
        <w:pStyle w:val="ListBullet"/>
        <w:spacing w:after="40"/>
      </w:pPr>
      <w:r>
        <w:rPr>
          <w:rFonts w:ascii="Arial" w:hAnsi="Arial"/>
          <w:sz w:val="20"/>
        </w:rPr>
        <w:t>Audit every Elliptic result for chronological compliance.</w:t>
      </w:r>
    </w:p>
    <w:p>
      <w:pPr>
        <w:pStyle w:val="ListBullet"/>
        <w:spacing w:after="40"/>
      </w:pPr>
      <w:r>
        <w:rPr>
          <w:rFonts w:ascii="Arial" w:hAnsi="Arial"/>
          <w:sz w:val="20"/>
        </w:rPr>
        <w:t>Keep FRAUDRE's non-canonical Elliptic result and SplitGNN's random Elliptic result outside the canonical ranking.</w:t>
      </w:r>
    </w:p>
    <w:p>
      <w:pPr>
        <w:pStyle w:val="ListBullet"/>
        <w:spacing w:after="40"/>
      </w:pPr>
      <w:r>
        <w:rPr>
          <w:rFonts w:ascii="Arial" w:hAnsi="Arial"/>
          <w:sz w:val="20"/>
        </w:rPr>
        <w:t>Preserve the exact time-step membership in the evidence package, not only a percentage label.</w:t>
      </w:r>
    </w:p>
    <w:p>
      <w:pPr>
        <w:pStyle w:val="Heading2"/>
      </w:pPr>
      <w:r>
        <w:t>4.3 T-Social: separate performance from scalability evidence</w:t>
      </w:r>
    </w:p>
    <w:p>
      <w:r>
        <w:rPr>
          <w:b/>
        </w:rPr>
        <w:t xml:space="preserve">Why this matters. </w:t>
      </w:r>
      <w:r>
        <w:t>T-Social is the largest graph in the benchmark and exposes model-specific execution constraints. The report contains successful three-seed results for GAAP, FRAUDRE, BWGNN and PMP, a native DGA-GNN result, a SplitGNN subsample result, two documented failures, and no PC-GNN/GAGA reportable result. That makes T-Social simultaneously a predictive benchmark and a scalability stress test.</w:t>
      </w:r>
    </w:p>
    <w:p>
      <w:pPr>
        <w:pStyle w:val="ListBullet"/>
        <w:spacing w:after="40"/>
      </w:pPr>
      <w:r>
        <w:rPr>
          <w:rFonts w:ascii="Arial" w:hAnsi="Arial"/>
          <w:sz w:val="20"/>
        </w:rPr>
        <w:t>Freeze the exact full-graph/subsample status for every model.</w:t>
      </w:r>
    </w:p>
    <w:p>
      <w:pPr>
        <w:pStyle w:val="ListBullet"/>
        <w:spacing w:after="40"/>
      </w:pPr>
      <w:r>
        <w:rPr>
          <w:rFonts w:ascii="Arial" w:hAnsi="Arial"/>
          <w:sz w:val="20"/>
        </w:rPr>
        <w:t>Freeze hardware, batch size, fanout/full-neighbour settings and validation strategy where they explain memory/time behaviour.</w:t>
      </w:r>
    </w:p>
    <w:p>
      <w:pPr>
        <w:pStyle w:val="ListBullet"/>
        <w:spacing w:after="40"/>
      </w:pPr>
      <w:r>
        <w:rPr>
          <w:rFonts w:ascii="Arial" w:hAnsi="Arial"/>
          <w:sz w:val="20"/>
        </w:rPr>
        <w:t>Resolve the internal report inconsistency: the scarcity section says GAAP/PMP are observed only at TR40, while Pathik's contribution says final multi-seed, multi-ratio T-Social execution was completed.</w:t>
      </w:r>
    </w:p>
    <w:p>
      <w:pPr>
        <w:pStyle w:val="Heading2"/>
      </w:pPr>
      <w:r>
        <w:t>4.4 FDCompCN: preserve structure evidence with the result</w:t>
      </w:r>
    </w:p>
    <w:p>
      <w:r>
        <w:rPr>
          <w:b/>
        </w:rPr>
        <w:t xml:space="preserve">Why this matters. </w:t>
      </w:r>
      <w:r>
        <w:t>FDCompCN is the smallest and most fragmented dataset: 5,317 nodes, 52.38% isolated nodes and only 559 fraud nodes. The report therefore warns that low performance may reflect fragmentation and limited usable neighbourhood information, not simply camouflage. The structural audit must remain attached to the predictive results so future ablations can test this explanation.</w:t>
      </w:r>
    </w:p>
    <w:p>
      <w:pPr>
        <w:pStyle w:val="Heading1"/>
      </w:pPr>
      <w:r>
        <w:t>5. Per-cell evidence package: what each accepted result must contain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2F0D9"/>
            <w:vAlign w:val="center"/>
          </w:tcPr>
          <w:p>
            <w:r/>
            <w:r>
              <w:rPr>
                <w:rFonts w:ascii="Arial" w:hAnsi="Arial"/>
                <w:b/>
                <w:sz w:val="16"/>
              </w:rPr>
              <w:t>Evidence block</w:t>
            </w:r>
          </w:p>
        </w:tc>
        <w:tc>
          <w:tcPr>
            <w:tcW w:type="dxa" w:w="3456"/>
            <w:shd w:fill="E2F0D9"/>
            <w:vAlign w:val="center"/>
          </w:tcPr>
          <w:p>
            <w:r/>
            <w:r>
              <w:rPr>
                <w:rFonts w:ascii="Arial" w:hAnsi="Arial"/>
                <w:b/>
                <w:sz w:val="16"/>
              </w:rPr>
              <w:t>Required content</w:t>
            </w:r>
          </w:p>
        </w:tc>
        <w:tc>
          <w:tcPr>
            <w:tcW w:type="dxa" w:w="3456"/>
            <w:shd w:fill="E2F0D9"/>
            <w:vAlign w:val="center"/>
          </w:tcPr>
          <w:p>
            <w:r/>
            <w:r>
              <w:rPr>
                <w:rFonts w:ascii="Arial" w:hAnsi="Arial"/>
                <w:b/>
                <w:sz w:val="16"/>
              </w:rPr>
              <w:t>Reason</w:t>
            </w:r>
          </w:p>
        </w:tc>
      </w:tr>
      <w:tr>
        <w:trPr>
          <w:cantSplit/>
        </w:trPr>
        <w:tc>
          <w:tcPr>
            <w:tcW w:type="dxa" w:w="3456"/>
            <w:vAlign w:val="center"/>
          </w:tcPr>
          <w:p>
            <w:r/>
            <w:r>
              <w:rPr>
                <w:rFonts w:ascii="Arial" w:hAnsi="Arial"/>
                <w:sz w:val="16"/>
              </w:rPr>
              <w:t>Identity</w:t>
            </w:r>
          </w:p>
        </w:tc>
        <w:tc>
          <w:tcPr>
            <w:tcW w:type="dxa" w:w="3456"/>
            <w:vAlign w:val="center"/>
          </w:tcPr>
          <w:p>
            <w:r/>
            <w:r>
              <w:rPr>
                <w:rFonts w:ascii="Arial" w:hAnsi="Arial"/>
                <w:sz w:val="16"/>
              </w:rPr>
              <w:t>Model, dataset, code commit, adapter version, run ID</w:t>
            </w:r>
          </w:p>
        </w:tc>
        <w:tc>
          <w:tcPr>
            <w:tcW w:type="dxa" w:w="3456"/>
            <w:vAlign w:val="center"/>
          </w:tcPr>
          <w:p>
            <w:r/>
            <w:r>
              <w:rPr>
                <w:rFonts w:ascii="Arial" w:hAnsi="Arial"/>
                <w:sz w:val="16"/>
              </w:rPr>
              <w:t>Without this, a number cannot be reproduced.</w:t>
            </w:r>
          </w:p>
        </w:tc>
      </w:tr>
      <w:tr>
        <w:trPr>
          <w:cantSplit/>
        </w:trPr>
        <w:tc>
          <w:tcPr>
            <w:tcW w:type="dxa" w:w="3456"/>
            <w:vAlign w:val="center"/>
          </w:tcPr>
          <w:p>
            <w:r/>
            <w:r>
              <w:rPr>
                <w:rFonts w:ascii="Arial" w:hAnsi="Arial"/>
                <w:sz w:val="16"/>
              </w:rPr>
              <w:t>Data</w:t>
            </w:r>
          </w:p>
        </w:tc>
        <w:tc>
          <w:tcPr>
            <w:tcW w:type="dxa" w:w="3456"/>
            <w:vAlign w:val="center"/>
          </w:tcPr>
          <w:p>
            <w:r/>
            <w:r>
              <w:rPr>
                <w:rFonts w:ascii="Arial" w:hAnsi="Arial"/>
                <w:sz w:val="16"/>
              </w:rPr>
              <w:t>Source hash, processed-graph hash, node/edge/feature/label counts</w:t>
            </w:r>
          </w:p>
        </w:tc>
        <w:tc>
          <w:tcPr>
            <w:tcW w:type="dxa" w:w="3456"/>
            <w:vAlign w:val="center"/>
          </w:tcPr>
          <w:p>
            <w:r/>
            <w:r>
              <w:rPr>
                <w:rFonts w:ascii="Arial" w:hAnsi="Arial"/>
                <w:sz w:val="16"/>
              </w:rPr>
              <w:t>Prevents silent dataset drift.</w:t>
            </w:r>
          </w:p>
        </w:tc>
      </w:tr>
      <w:tr>
        <w:trPr>
          <w:cantSplit/>
        </w:trPr>
        <w:tc>
          <w:tcPr>
            <w:tcW w:type="dxa" w:w="3456"/>
            <w:vAlign w:val="center"/>
          </w:tcPr>
          <w:p>
            <w:r/>
            <w:r>
              <w:rPr>
                <w:rFonts w:ascii="Arial" w:hAnsi="Arial"/>
                <w:sz w:val="16"/>
              </w:rPr>
              <w:t>Split</w:t>
            </w:r>
          </w:p>
        </w:tc>
        <w:tc>
          <w:tcPr>
            <w:tcW w:type="dxa" w:w="3456"/>
            <w:vAlign w:val="center"/>
          </w:tcPr>
          <w:p>
            <w:r/>
            <w:r>
              <w:rPr>
                <w:rFonts w:ascii="Arial" w:hAnsi="Arial"/>
                <w:sz w:val="16"/>
              </w:rPr>
              <w:t>Split file + hash, ratio, train/val/test IDs, chronology if Elliptic</w:t>
            </w:r>
          </w:p>
        </w:tc>
        <w:tc>
          <w:tcPr>
            <w:tcW w:type="dxa" w:w="3456"/>
            <w:vAlign w:val="center"/>
          </w:tcPr>
          <w:p>
            <w:r/>
            <w:r>
              <w:rPr>
                <w:rFonts w:ascii="Arial" w:hAnsi="Arial"/>
                <w:sz w:val="16"/>
              </w:rPr>
              <w:t>Proves comparability.</w:t>
            </w:r>
          </w:p>
        </w:tc>
      </w:tr>
      <w:tr>
        <w:trPr>
          <w:cantSplit/>
        </w:trPr>
        <w:tc>
          <w:tcPr>
            <w:tcW w:type="dxa" w:w="3456"/>
            <w:vAlign w:val="center"/>
          </w:tcPr>
          <w:p>
            <w:r/>
            <w:r>
              <w:rPr>
                <w:rFonts w:ascii="Arial" w:hAnsi="Arial"/>
                <w:sz w:val="16"/>
              </w:rPr>
              <w:t>Training</w:t>
            </w:r>
          </w:p>
        </w:tc>
        <w:tc>
          <w:tcPr>
            <w:tcW w:type="dxa" w:w="3456"/>
            <w:vAlign w:val="center"/>
          </w:tcPr>
          <w:p>
            <w:r/>
            <w:r>
              <w:rPr>
                <w:rFonts w:ascii="Arial" w:hAnsi="Arial"/>
                <w:sz w:val="16"/>
              </w:rPr>
              <w:t>Seed, frozen configuration, epochs, patience, checkpoint, threshold rule</w:t>
            </w:r>
          </w:p>
        </w:tc>
        <w:tc>
          <w:tcPr>
            <w:tcW w:type="dxa" w:w="3456"/>
            <w:vAlign w:val="center"/>
          </w:tcPr>
          <w:p>
            <w:r/>
            <w:r>
              <w:rPr>
                <w:rFonts w:ascii="Arial" w:hAnsi="Arial"/>
                <w:sz w:val="16"/>
              </w:rPr>
              <w:t>Separates tuning decisions from test evaluation.</w:t>
            </w:r>
          </w:p>
        </w:tc>
      </w:tr>
      <w:tr>
        <w:trPr>
          <w:cantSplit/>
        </w:trPr>
        <w:tc>
          <w:tcPr>
            <w:tcW w:type="dxa" w:w="3456"/>
            <w:vAlign w:val="center"/>
          </w:tcPr>
          <w:p>
            <w:r/>
            <w:r>
              <w:rPr>
                <w:rFonts w:ascii="Arial" w:hAnsi="Arial"/>
                <w:sz w:val="16"/>
              </w:rPr>
              <w:t>Metrics</w:t>
            </w:r>
          </w:p>
        </w:tc>
        <w:tc>
          <w:tcPr>
            <w:tcW w:type="dxa" w:w="3456"/>
            <w:vAlign w:val="center"/>
          </w:tcPr>
          <w:p>
            <w:r/>
            <w:r>
              <w:rPr>
                <w:rFonts w:ascii="Arial" w:hAnsi="Arial"/>
                <w:sz w:val="16"/>
              </w:rPr>
              <w:t>Seven metrics per seed + mean/SD</w:t>
            </w:r>
          </w:p>
        </w:tc>
        <w:tc>
          <w:tcPr>
            <w:tcW w:type="dxa" w:w="3456"/>
            <w:vAlign w:val="center"/>
          </w:tcPr>
          <w:p>
            <w:r/>
            <w:r>
              <w:rPr>
                <w:rFonts w:ascii="Arial" w:hAnsi="Arial"/>
                <w:sz w:val="16"/>
              </w:rPr>
              <w:t>Prevents summary-only evidence loss.</w:t>
            </w:r>
          </w:p>
        </w:tc>
      </w:tr>
      <w:tr>
        <w:trPr>
          <w:cantSplit/>
        </w:trPr>
        <w:tc>
          <w:tcPr>
            <w:tcW w:type="dxa" w:w="3456"/>
            <w:vAlign w:val="center"/>
          </w:tcPr>
          <w:p>
            <w:r/>
            <w:r>
              <w:rPr>
                <w:rFonts w:ascii="Arial" w:hAnsi="Arial"/>
                <w:sz w:val="16"/>
              </w:rPr>
              <w:t>Cost</w:t>
            </w:r>
          </w:p>
        </w:tc>
        <w:tc>
          <w:tcPr>
            <w:tcW w:type="dxa" w:w="3456"/>
            <w:vAlign w:val="center"/>
          </w:tcPr>
          <w:p>
            <w:r/>
            <w:r>
              <w:rPr>
                <w:rFonts w:ascii="Arial" w:hAnsi="Arial"/>
                <w:sz w:val="16"/>
              </w:rPr>
              <w:t>Setup, training-only, validation/inference, peak VRAM</w:t>
            </w:r>
          </w:p>
        </w:tc>
        <w:tc>
          <w:tcPr>
            <w:tcW w:type="dxa" w:w="3456"/>
            <w:vAlign w:val="center"/>
          </w:tcPr>
          <w:p>
            <w:r/>
            <w:r>
              <w:rPr>
                <w:rFonts w:ascii="Arial" w:hAnsi="Arial"/>
                <w:sz w:val="16"/>
              </w:rPr>
              <w:t>Supports RQ4 without mixing incompatible boundaries.</w:t>
            </w:r>
          </w:p>
        </w:tc>
      </w:tr>
      <w:tr>
        <w:trPr>
          <w:cantSplit/>
        </w:trPr>
        <w:tc>
          <w:tcPr>
            <w:tcW w:type="dxa" w:w="3456"/>
            <w:vAlign w:val="center"/>
          </w:tcPr>
          <w:p>
            <w:r/>
            <w:r>
              <w:rPr>
                <w:rFonts w:ascii="Arial" w:hAnsi="Arial"/>
                <w:sz w:val="16"/>
              </w:rPr>
              <w:t>Validity</w:t>
            </w:r>
          </w:p>
        </w:tc>
        <w:tc>
          <w:tcPr>
            <w:tcW w:type="dxa" w:w="3456"/>
            <w:vAlign w:val="center"/>
          </w:tcPr>
          <w:p>
            <w:r/>
            <w:r>
              <w:rPr>
                <w:rFonts w:ascii="Arial" w:hAnsi="Arial"/>
                <w:sz w:val="16"/>
              </w:rPr>
              <w:t>Canonical/native/non-canonical/subsample/failed + reason</w:t>
            </w:r>
          </w:p>
        </w:tc>
        <w:tc>
          <w:tcPr>
            <w:tcW w:type="dxa" w:w="3456"/>
            <w:vAlign w:val="center"/>
          </w:tcPr>
          <w:p>
            <w:r/>
            <w:r>
              <w:rPr>
                <w:rFonts w:ascii="Arial" w:hAnsi="Arial"/>
                <w:sz w:val="16"/>
              </w:rPr>
              <w:t>Stops weak evidence from being ranked as strong evidence.</w:t>
            </w:r>
          </w:p>
        </w:tc>
      </w:tr>
    </w:tbl>
    <w:p/>
    <w:p>
      <w:pPr>
        <w:pStyle w:val="Heading1"/>
      </w:pPr>
      <w:r>
        <w:t>6. Practical audit workflow</w:t>
      </w:r>
    </w:p>
    <w:p>
      <w:r>
        <w:rPr>
          <w:b/>
        </w:rPr>
        <w:t xml:space="preserve">Step 1 – Inventory. </w:t>
      </w:r>
      <w:r>
        <w:t>Create one row for every one of the 60 model–dataset cells. Link each row to the exact evidence folder, not only the report table.</w:t>
      </w:r>
    </w:p>
    <w:p>
      <w:r>
        <w:rPr>
          <w:b/>
        </w:rPr>
        <w:t xml:space="preserve">Step 2 – Classify. </w:t>
      </w:r>
      <w:r>
        <w:t>Assign one evidence mode: canonical shared, native single, non-canonical, subsample, failed or missing.</w:t>
      </w:r>
    </w:p>
    <w:p>
      <w:r>
        <w:rPr>
          <w:b/>
        </w:rPr>
        <w:t xml:space="preserve">Step 3 – Verify provenance. </w:t>
      </w:r>
      <w:r>
        <w:t>Check source and split hashes, then verify the model commit and any adapter.</w:t>
      </w:r>
    </w:p>
    <w:p>
      <w:r>
        <w:rPr>
          <w:b/>
        </w:rPr>
        <w:t xml:space="preserve">Step 4 – Verify completeness. </w:t>
      </w:r>
      <w:r>
        <w:t>Check seeds, ratios and all seven metrics against the raw outputs.</w:t>
      </w:r>
    </w:p>
    <w:p>
      <w:r>
        <w:rPr>
          <w:b/>
        </w:rPr>
        <w:t xml:space="preserve">Step 5 – Verify cost evidence. </w:t>
      </w:r>
      <w:r>
        <w:t>Confirm the timing boundary and GPU-memory definition. If incomparable, mark it rather than normalising by assumption.</w:t>
      </w:r>
    </w:p>
    <w:p>
      <w:r>
        <w:rPr>
          <w:b/>
        </w:rPr>
        <w:t xml:space="preserve">Step 6 – Resolve contradictions. </w:t>
      </w:r>
      <w:r>
        <w:t>Where the report and artifacts disagree, the artifacts become the source of truth and the discrepancy is documented.</w:t>
      </w:r>
    </w:p>
    <w:p>
      <w:r>
        <w:rPr>
          <w:b/>
        </w:rPr>
        <w:t xml:space="preserve">Step 7 – Freeze. </w:t>
      </w:r>
      <w:r>
        <w:t>Archive the validated evidence with a SHA256 manifest and a short README describing what is canonical and what remains limited.</w:t>
      </w:r>
    </w:p>
    <w:p>
      <w:pPr>
        <w:pStyle w:val="Heading1"/>
      </w:pPr>
      <w:r>
        <w:t>7. What the final freeze deliverable should look like</w:t>
      </w:r>
    </w:p>
    <w:p>
      <w:r>
        <w:rPr>
          <w:b/>
        </w:rPr>
        <w:t xml:space="preserve">The deliverable should not be another results table. </w:t>
      </w:r>
      <w:r>
        <w:t>It should be a compact benchmark provenance package: a 10×6 evidence matrix, one machine-readable run register, six dataset/source/split manifests, a failure register, a cost register, and an archive checksum file. The purpose is to make every later rerun visibly 'new evidence' rather than silently replacing the Assessment 2 state.</w:t>
      </w:r>
    </w:p>
    <w:tbl>
      <w:tblPr>
        <w:tblStyle w:val="TableGrid"/>
        <w:tblW w:type="auto" w:w="0"/>
        <w:tblLook w:firstColumn="1" w:firstRow="1" w:lastColumn="0" w:lastRow="0" w:noHBand="0" w:noVBand="1" w:val="04A0"/>
      </w:tblPr>
      <w:tblGrid>
        <w:gridCol w:w="10368"/>
      </w:tblGrid>
      <w:tr>
        <w:tc>
          <w:tcPr>
            <w:tcW w:type="dxa" w:w="10368"/>
            <w:shd w:fill="F2F2F2"/>
          </w:tcPr>
          <w:p>
            <w:r>
              <w:rPr>
                <w:rFonts w:ascii="Arial" w:hAnsi="Arial"/>
                <w:b/>
                <w:sz w:val="19"/>
              </w:rPr>
              <w:t xml:space="preserve">Completion criterion: </w:t>
            </w:r>
            <w:r>
              <w:rPr>
                <w:rFonts w:ascii="Arial" w:hAnsi="Arial"/>
                <w:sz w:val="19"/>
              </w:rPr>
              <w:t>The benchmark is frozen only when every one of the 60 cells has an evidence mode, an artifact location, a provenance status and an explicit next action. A numerical metric is not required for failed/infeasible cells; reproducible failure evidence is an acceptable benchmark outcome.</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