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COMP8851 – Benchmark Closure Plan Before Expansion</w:t>
      </w:r>
    </w:p>
    <w:p>
      <w:pPr>
        <w:jc w:val="center"/>
      </w:pPr>
      <w:r>
        <w:rPr>
          <w:rFonts w:ascii="Arial" w:hAnsi="Arial"/>
          <w:i/>
          <w:sz w:val="20"/>
        </w:rPr>
        <w:t>Explanation-led execution plan derived from Assessment 2 Future Outlook and current evidence limits</w:t>
      </w:r>
    </w:p>
    <w:p/>
    <w:p>
      <w:r>
        <w:rPr>
          <w:b/>
        </w:rPr>
        <w:t xml:space="preserve">Core principle. </w:t>
      </w:r>
      <w:r>
        <w:t>Assessment 2 already provides breadth: ten models, six datasets, label-scarcity analysis, structural analysis and cost observations. The next phase should first improve comparability, not merely increase the number of experiments. The report's Future Outlook explicitly says that work after the 10×6 grid should move from running models to making the evidence comparable.</w:t>
      </w:r>
    </w:p>
    <w:tbl>
      <w:tblPr>
        <w:tblStyle w:val="TableGrid"/>
        <w:tblW w:type="auto" w:w="0"/>
        <w:tblLook w:firstColumn="1" w:firstRow="1" w:lastColumn="0" w:lastRow="0" w:noHBand="0" w:noVBand="1" w:val="04A0"/>
      </w:tblPr>
      <w:tblGrid>
        <w:gridCol w:w="10368"/>
      </w:tblGrid>
      <w:tr>
        <w:tc>
          <w:tcPr>
            <w:tcW w:type="dxa" w:w="10368"/>
            <w:shd w:fill="F2F2F2"/>
          </w:tcPr>
          <w:p>
            <w:r>
              <w:rPr>
                <w:rFonts w:ascii="Arial" w:hAnsi="Arial"/>
                <w:b/>
                <w:sz w:val="19"/>
              </w:rPr>
              <w:t xml:space="preserve">Why closure comes before expansion: </w:t>
            </w:r>
            <w:r>
              <w:rPr>
                <w:rFonts w:ascii="Arial" w:hAnsi="Arial"/>
                <w:sz w:val="19"/>
              </w:rPr>
              <w:t>If a seventh dataset or three new models are added while current * and † entries remain unresolved, the project becomes larger but the central claim—controlled comparison under one framework—becomes weaker. Closure protects the main contribution of the project.</w:t>
            </w:r>
          </w:p>
        </w:tc>
      </w:tr>
    </w:tbl>
    <w:p/>
    <w:p>
      <w:pPr>
        <w:pStyle w:val="Heading1"/>
      </w:pPr>
      <w:r>
        <w:t>1. Closure priorities and the reasoning behind the order</w:t>
      </w:r>
    </w:p>
    <w:p>
      <w:pPr>
        <w:pStyle w:val="Heading2"/>
      </w:pPr>
      <w:r>
        <w:t>P0 – Reconcile the evidence inventory</w:t>
      </w:r>
    </w:p>
    <w:p>
      <w:r>
        <w:rPr>
          <w:b/>
        </w:rPr>
        <w:t xml:space="preserve">Action. </w:t>
      </w:r>
      <w:r>
        <w:t>Resolve contradictions between the report and the actual evidence folders before running anything new.</w:t>
      </w:r>
    </w:p>
    <w:p>
      <w:r>
        <w:rPr>
          <w:b/>
        </w:rPr>
        <w:t xml:space="preserve">Why. </w:t>
      </w:r>
      <w:r>
        <w:t>The report mixes shared results, native single runs, non-canonical results, failures and blanks. It also contains an apparent T-Social ratio-coverage inconsistency for GAAP/PMP. If the team does not first decide what is truly complete, it risks rerunning finished work or treating provisional evidence as final.</w:t>
      </w:r>
    </w:p>
    <w:p>
      <w:r>
        <w:rPr>
          <w:b/>
        </w:rPr>
        <w:t xml:space="preserve">Deliverable. </w:t>
      </w:r>
      <w:r>
        <w:t>Signed-off 10×6 evidence matrix with artifact paths and statuses.</w:t>
      </w:r>
    </w:p>
    <w:p>
      <w:pPr>
        <w:pStyle w:val="Heading2"/>
      </w:pPr>
      <w:r>
        <w:t>P1 – Revalidate T-Finance</w:t>
      </w:r>
    </w:p>
    <w:p>
      <w:r>
        <w:rPr>
          <w:b/>
        </w:rPr>
        <w:t xml:space="preserve">Action. </w:t>
      </w:r>
      <w:r>
        <w:t>Verify the corrected 1,804-fraud label state and the split derived from it.</w:t>
      </w:r>
    </w:p>
    <w:p>
      <w:r>
        <w:rPr>
          <w:b/>
        </w:rPr>
        <w:t xml:space="preserve">Why. </w:t>
      </w:r>
      <w:r>
        <w:t>The dataset correction is upstream of every T-Finance model result. If labels or split IDs changed, all downstream comparisons may be affected. This is therefore a data-integrity task, not a model-performance task.</w:t>
      </w:r>
    </w:p>
    <w:p>
      <w:r>
        <w:rPr>
          <w:b/>
        </w:rPr>
        <w:t xml:space="preserve">Deliverable. </w:t>
      </w:r>
      <w:r>
        <w:t>Canonical T-Finance source/split manifest and exact rerun list.</w:t>
      </w:r>
    </w:p>
    <w:p>
      <w:pPr>
        <w:pStyle w:val="Heading2"/>
      </w:pPr>
      <w:r>
        <w:t>P2 – Canonicalise * and † evidence</w:t>
      </w:r>
    </w:p>
    <w:p>
      <w:r>
        <w:rPr>
          <w:b/>
        </w:rPr>
        <w:t xml:space="preserve">Action. </w:t>
      </w:r>
      <w:r>
        <w:t>Move technically defensible native/non-canonical results onto the shared split/evaluator.</w:t>
      </w:r>
    </w:p>
    <w:p>
      <w:r>
        <w:rPr>
          <w:b/>
        </w:rPr>
        <w:t xml:space="preserve">Why. </w:t>
      </w:r>
      <w:r>
        <w:t>The strongest-looking numbers in the report include DGA-GNN native single runs, while SplitGNN uses own splits and FRAUDRE Elliptic is non-canonical. Until these are rerun under comparable conditions, they cannot support a clean leaderboard.</w:t>
      </w:r>
    </w:p>
    <w:p>
      <w:r>
        <w:rPr>
          <w:b/>
        </w:rPr>
        <w:t xml:space="preserve">Deliverable. </w:t>
      </w:r>
      <w:r>
        <w:t>Canonical three-seed TR40 results or an explicit reason why canonicalisation is not defensible.</w:t>
      </w:r>
    </w:p>
    <w:p>
      <w:pPr>
        <w:pStyle w:val="Heading2"/>
      </w:pPr>
      <w:r>
        <w:t>P3 – Complete the scarcity ladders</w:t>
      </w:r>
    </w:p>
    <w:p>
      <w:r>
        <w:rPr>
          <w:b/>
        </w:rPr>
        <w:t xml:space="preserve">Action. </w:t>
      </w:r>
      <w:r>
        <w:t>Extend missing TR40-only results to TR30/TR20/TR10 using the already frozen TR40 winner.</w:t>
      </w:r>
    </w:p>
    <w:p>
      <w:r>
        <w:rPr>
          <w:b/>
        </w:rPr>
        <w:t xml:space="preserve">Why. </w:t>
      </w:r>
      <w:r>
        <w:t>RQ2 asks how performance changes as labels become scarce. A model with only TR40 evidence contributes to RQ1 but not fully to RQ2. The lower ratios must reuse the TR40 winner; retuning would change the question.</w:t>
      </w:r>
    </w:p>
    <w:p>
      <w:r>
        <w:rPr>
          <w:b/>
        </w:rPr>
        <w:t xml:space="preserve">Deliverable. </w:t>
      </w:r>
      <w:r>
        <w:t>Three-seed four-ratio coverage map.</w:t>
      </w:r>
    </w:p>
    <w:p>
      <w:pPr>
        <w:pStyle w:val="Heading2"/>
      </w:pPr>
      <w:r>
        <w:t>P4 – Standardise cost boundaries</w:t>
      </w:r>
    </w:p>
    <w:p>
      <w:r>
        <w:rPr>
          <w:b/>
        </w:rPr>
        <w:t xml:space="preserve">Action. </w:t>
      </w:r>
      <w:r>
        <w:t>Measure setup, training, validation/inference and peak memory under explicit common definitions.</w:t>
      </w:r>
    </w:p>
    <w:p>
      <w:r>
        <w:rPr>
          <w:b/>
        </w:rPr>
        <w:t xml:space="preserve">Why. </w:t>
      </w:r>
      <w:r>
        <w:t>The report correctly treats current timing as cost tiers rather than a strict speed ranking because pipelines time different things. A matched boundary is needed before making strong RQ4 statements.</w:t>
      </w:r>
    </w:p>
    <w:p>
      <w:r>
        <w:rPr>
          <w:b/>
        </w:rPr>
        <w:t xml:space="preserve">Deliverable. </w:t>
      </w:r>
      <w:r>
        <w:t>Matched cost dataset and cost-vs-performance figures.</w:t>
      </w:r>
    </w:p>
    <w:p>
      <w:pPr>
        <w:pStyle w:val="Heading2"/>
      </w:pPr>
      <w:r>
        <w:t>P5 – Freeze Benchmark v2</w:t>
      </w:r>
    </w:p>
    <w:p>
      <w:r>
        <w:rPr>
          <w:b/>
        </w:rPr>
        <w:t xml:space="preserve">Action. </w:t>
      </w:r>
      <w:r>
        <w:t>Package the closed benchmark before adding new models/datasets.</w:t>
      </w:r>
    </w:p>
    <w:p>
      <w:r>
        <w:rPr>
          <w:b/>
        </w:rPr>
        <w:t xml:space="preserve">Why. </w:t>
      </w:r>
      <w:r>
        <w:t>This gives the project a stable comparison base and makes later extensions clearly additive.</w:t>
      </w:r>
    </w:p>
    <w:p>
      <w:r>
        <w:rPr>
          <w:b/>
        </w:rPr>
        <w:t xml:space="preserve">Deliverable. </w:t>
      </w:r>
      <w:r>
        <w:t>Versioned benchmark archive, summary tables and limitations note.</w:t>
      </w:r>
    </w:p>
    <w:p>
      <w:pPr>
        <w:pStyle w:val="Heading1"/>
      </w:pPr>
      <w:r>
        <w:t>2. Canonicalisation workstream</w:t>
      </w:r>
    </w:p>
    <w:p>
      <w:r>
        <w:rPr>
          <w:b/>
        </w:rPr>
        <w:t xml:space="preserve">Canonicalisation does not mean forcing every model into an artificial common architecture. </w:t>
      </w:r>
      <w:r>
        <w:t>The report's safeguard is that adapters may translate inputs but must not change the architecture, loss or fraud-specific mechanism. If a model cannot be run canonically without changing its method, that incompatibility should remain a documented benchmark result.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FCE4D6"/>
            <w:vAlign w:val="center"/>
          </w:tcPr>
          <w:p>
            <w:r/>
            <w:r>
              <w:rPr>
                <w:rFonts w:ascii="Arial" w:hAnsi="Arial"/>
                <w:b/>
                <w:sz w:val="15"/>
              </w:rPr>
              <w:t>Target</w:t>
            </w:r>
          </w:p>
        </w:tc>
        <w:tc>
          <w:tcPr>
            <w:tcW w:type="dxa" w:w="2074"/>
            <w:shd w:fill="FCE4D6"/>
            <w:vAlign w:val="center"/>
          </w:tcPr>
          <w:p>
            <w:r/>
            <w:r>
              <w:rPr>
                <w:rFonts w:ascii="Arial" w:hAnsi="Arial"/>
                <w:b/>
                <w:sz w:val="15"/>
              </w:rPr>
              <w:t>Ass2 state</w:t>
            </w:r>
          </w:p>
        </w:tc>
        <w:tc>
          <w:tcPr>
            <w:tcW w:type="dxa" w:w="2074"/>
            <w:shd w:fill="FCE4D6"/>
            <w:vAlign w:val="center"/>
          </w:tcPr>
          <w:p>
            <w:r/>
            <w:r>
              <w:rPr>
                <w:rFonts w:ascii="Arial" w:hAnsi="Arial"/>
                <w:b/>
                <w:sz w:val="15"/>
              </w:rPr>
              <w:t>Problem</w:t>
            </w:r>
          </w:p>
        </w:tc>
        <w:tc>
          <w:tcPr>
            <w:tcW w:type="dxa" w:w="2074"/>
            <w:shd w:fill="FCE4D6"/>
            <w:vAlign w:val="center"/>
          </w:tcPr>
          <w:p>
            <w:r/>
            <w:r>
              <w:rPr>
                <w:rFonts w:ascii="Arial" w:hAnsi="Arial"/>
                <w:b/>
                <w:sz w:val="15"/>
              </w:rPr>
              <w:t>Closure action</w:t>
            </w:r>
          </w:p>
        </w:tc>
        <w:tc>
          <w:tcPr>
            <w:tcW w:type="dxa" w:w="2074"/>
            <w:shd w:fill="FCE4D6"/>
            <w:vAlign w:val="center"/>
          </w:tcPr>
          <w:p>
            <w:r/>
            <w:r>
              <w:rPr>
                <w:rFonts w:ascii="Arial" w:hAnsi="Arial"/>
                <w:b/>
                <w:sz w:val="15"/>
              </w:rPr>
              <w:t>Why it matters</w:t>
            </w:r>
          </w:p>
        </w:tc>
      </w:tr>
      <w:tr>
        <w:trPr>
          <w:cantSplit/>
        </w:trPr>
        <w:tc>
          <w:tcPr>
            <w:tcW w:type="dxa" w:w="2074"/>
            <w:vAlign w:val="center"/>
          </w:tcPr>
          <w:p>
            <w:r/>
            <w:r>
              <w:rPr>
                <w:rFonts w:ascii="Arial" w:hAnsi="Arial"/>
                <w:sz w:val="15"/>
              </w:rPr>
              <w:t>FRAUDRE – Elliptic</w:t>
            </w:r>
          </w:p>
        </w:tc>
        <w:tc>
          <w:tcPr>
            <w:tcW w:type="dxa" w:w="2074"/>
            <w:vAlign w:val="center"/>
          </w:tcPr>
          <w:p>
            <w:r/>
            <w:r>
              <w:rPr>
                <w:rFonts w:ascii="Arial" w:hAnsi="Arial"/>
                <w:sz w:val="15"/>
              </w:rPr>
              <w:t>0.021±0.002†</w:t>
            </w:r>
          </w:p>
        </w:tc>
        <w:tc>
          <w:tcPr>
            <w:tcW w:type="dxa" w:w="2074"/>
            <w:vAlign w:val="center"/>
          </w:tcPr>
          <w:p>
            <w:r/>
            <w:r>
              <w:rPr>
                <w:rFonts w:ascii="Arial" w:hAnsi="Arial"/>
                <w:sz w:val="15"/>
              </w:rPr>
              <w:t>Model-specific/non-canonical split</w:t>
            </w:r>
          </w:p>
        </w:tc>
        <w:tc>
          <w:tcPr>
            <w:tcW w:type="dxa" w:w="2074"/>
            <w:vAlign w:val="center"/>
          </w:tcPr>
          <w:p>
            <w:r/>
            <w:r>
              <w:rPr>
                <w:rFonts w:ascii="Arial" w:hAnsi="Arial"/>
                <w:sz w:val="15"/>
              </w:rPr>
              <w:t>Re-run on chronological Elliptic registry if the model can accept it without changing its mechanism.</w:t>
            </w:r>
          </w:p>
        </w:tc>
        <w:tc>
          <w:tcPr>
            <w:tcW w:type="dxa" w:w="2074"/>
            <w:vAlign w:val="center"/>
          </w:tcPr>
          <w:p>
            <w:r/>
            <w:r>
              <w:rPr>
                <w:rFonts w:ascii="Arial" w:hAnsi="Arial"/>
                <w:sz w:val="15"/>
              </w:rPr>
              <w:t>A canonical result would show whether the very weak score is mainly concept drift or split design.</w:t>
            </w:r>
          </w:p>
        </w:tc>
      </w:tr>
      <w:tr>
        <w:trPr>
          <w:cantSplit/>
        </w:trPr>
        <w:tc>
          <w:tcPr>
            <w:tcW w:type="dxa" w:w="2074"/>
            <w:vAlign w:val="center"/>
          </w:tcPr>
          <w:p>
            <w:r/>
            <w:r>
              <w:rPr>
                <w:rFonts w:ascii="Arial" w:hAnsi="Arial"/>
                <w:sz w:val="15"/>
              </w:rPr>
              <w:t>SplitGNN – all six</w:t>
            </w:r>
          </w:p>
        </w:tc>
        <w:tc>
          <w:tcPr>
            <w:tcW w:type="dxa" w:w="2074"/>
            <w:vAlign w:val="center"/>
          </w:tcPr>
          <w:p>
            <w:r/>
            <w:r>
              <w:rPr>
                <w:rFonts w:ascii="Arial" w:hAnsi="Arial"/>
                <w:sz w:val="15"/>
              </w:rPr>
              <w:t>All †</w:t>
            </w:r>
          </w:p>
        </w:tc>
        <w:tc>
          <w:tcPr>
            <w:tcW w:type="dxa" w:w="2074"/>
            <w:vAlign w:val="center"/>
          </w:tcPr>
          <w:p>
            <w:r/>
            <w:r>
              <w:rPr>
                <w:rFonts w:ascii="Arial" w:hAnsi="Arial"/>
                <w:sz w:val="15"/>
              </w:rPr>
              <w:t>Own split files; Elliptic random; T-Social 15% subsample</w:t>
            </w:r>
          </w:p>
        </w:tc>
        <w:tc>
          <w:tcPr>
            <w:tcW w:type="dxa" w:w="2074"/>
            <w:vAlign w:val="center"/>
          </w:tcPr>
          <w:p>
            <w:r/>
            <w:r>
              <w:rPr>
                <w:rFonts w:ascii="Arial" w:hAnsi="Arial"/>
                <w:sz w:val="15"/>
              </w:rPr>
              <w:t>Attempt canonical registry; preserve chronological Elliptic and full T-Social only if technically feasible.</w:t>
            </w:r>
          </w:p>
        </w:tc>
        <w:tc>
          <w:tcPr>
            <w:tcW w:type="dxa" w:w="2074"/>
            <w:vAlign w:val="center"/>
          </w:tcPr>
          <w:p>
            <w:r/>
            <w:r>
              <w:rPr>
                <w:rFonts w:ascii="Arial" w:hAnsi="Arial"/>
                <w:sz w:val="15"/>
              </w:rPr>
              <w:t>Without this, SplitGNN cannot be ranked directly with shared-protocol models.</w:t>
            </w:r>
          </w:p>
        </w:tc>
      </w:tr>
      <w:tr>
        <w:trPr>
          <w:cantSplit/>
        </w:trPr>
        <w:tc>
          <w:tcPr>
            <w:tcW w:type="dxa" w:w="2074"/>
            <w:vAlign w:val="center"/>
          </w:tcPr>
          <w:p>
            <w:r/>
            <w:r>
              <w:rPr>
                <w:rFonts w:ascii="Arial" w:hAnsi="Arial"/>
                <w:sz w:val="15"/>
              </w:rPr>
              <w:t>DGA-GNN – five datasets</w:t>
            </w:r>
          </w:p>
        </w:tc>
        <w:tc>
          <w:tcPr>
            <w:tcW w:type="dxa" w:w="2074"/>
            <w:vAlign w:val="center"/>
          </w:tcPr>
          <w:p>
            <w:r/>
            <w:r>
              <w:rPr>
                <w:rFonts w:ascii="Arial" w:hAnsi="Arial"/>
                <w:sz w:val="15"/>
              </w:rPr>
              <w:t>Single native *</w:t>
            </w:r>
          </w:p>
        </w:tc>
        <w:tc>
          <w:tcPr>
            <w:tcW w:type="dxa" w:w="2074"/>
            <w:vAlign w:val="center"/>
          </w:tcPr>
          <w:p>
            <w:r/>
            <w:r>
              <w:rPr>
                <w:rFonts w:ascii="Arial" w:hAnsi="Arial"/>
                <w:sz w:val="15"/>
              </w:rPr>
              <w:t>One seed/native protocol</w:t>
            </w:r>
          </w:p>
        </w:tc>
        <w:tc>
          <w:tcPr>
            <w:tcW w:type="dxa" w:w="2074"/>
            <w:vAlign w:val="center"/>
          </w:tcPr>
          <w:p>
            <w:r/>
            <w:r>
              <w:rPr>
                <w:rFonts w:ascii="Arial" w:hAnsi="Arial"/>
                <w:sz w:val="15"/>
              </w:rPr>
              <w:t>Run three seeds under shared evaluator/split where implementation permits.</w:t>
            </w:r>
          </w:p>
        </w:tc>
        <w:tc>
          <w:tcPr>
            <w:tcW w:type="dxa" w:w="2074"/>
            <w:vAlign w:val="center"/>
          </w:tcPr>
          <w:p>
            <w:r/>
            <w:r>
              <w:rPr>
                <w:rFonts w:ascii="Arial" w:hAnsi="Arial"/>
                <w:sz w:val="15"/>
              </w:rPr>
              <w:t>Its very high native scores are currently strong-looking but not equally controlled evidence.</w:t>
            </w:r>
          </w:p>
        </w:tc>
      </w:tr>
      <w:tr>
        <w:trPr>
          <w:cantSplit/>
        </w:trPr>
        <w:tc>
          <w:tcPr>
            <w:tcW w:type="dxa" w:w="2074"/>
            <w:vAlign w:val="center"/>
          </w:tcPr>
          <w:p>
            <w:r/>
            <w:r>
              <w:rPr>
                <w:rFonts w:ascii="Arial" w:hAnsi="Arial"/>
                <w:sz w:val="15"/>
              </w:rPr>
              <w:t>DGA-GNN – FDCompCN</w:t>
            </w:r>
          </w:p>
        </w:tc>
        <w:tc>
          <w:tcPr>
            <w:tcW w:type="dxa" w:w="2074"/>
            <w:vAlign w:val="center"/>
          </w:tcPr>
          <w:p>
            <w:r/>
            <w:r>
              <w:rPr>
                <w:rFonts w:ascii="Arial" w:hAnsi="Arial"/>
                <w:sz w:val="15"/>
              </w:rPr>
              <w:t>0.298±0.147†</w:t>
            </w:r>
          </w:p>
        </w:tc>
        <w:tc>
          <w:tcPr>
            <w:tcW w:type="dxa" w:w="2074"/>
            <w:vAlign w:val="center"/>
          </w:tcPr>
          <w:p>
            <w:r/>
            <w:r>
              <w:rPr>
                <w:rFonts w:ascii="Arial" w:hAnsi="Arial"/>
                <w:sz w:val="15"/>
              </w:rPr>
              <w:t>Local/non-canonical split and severe seed instability</w:t>
            </w:r>
          </w:p>
        </w:tc>
        <w:tc>
          <w:tcPr>
            <w:tcW w:type="dxa" w:w="2074"/>
            <w:vAlign w:val="center"/>
          </w:tcPr>
          <w:p>
            <w:r/>
            <w:r>
              <w:rPr>
                <w:rFonts w:ascii="Arial" w:hAnsi="Arial"/>
                <w:sz w:val="15"/>
              </w:rPr>
              <w:t>Canonical split, three seeds, full lower-ratio ladder; retain collapse diagnostics.</w:t>
            </w:r>
          </w:p>
        </w:tc>
        <w:tc>
          <w:tcPr>
            <w:tcW w:type="dxa" w:w="2074"/>
            <w:vAlign w:val="center"/>
          </w:tcPr>
          <w:p>
            <w:r/>
            <w:r>
              <w:rPr>
                <w:rFonts w:ascii="Arial" w:hAnsi="Arial"/>
                <w:sz w:val="15"/>
              </w:rPr>
              <w:t>This is both a comparability issue and a robustness finding.</w:t>
            </w:r>
          </w:p>
        </w:tc>
      </w:tr>
      <w:tr>
        <w:trPr>
          <w:cantSplit/>
        </w:trPr>
        <w:tc>
          <w:tcPr>
            <w:tcW w:type="dxa" w:w="2074"/>
            <w:vAlign w:val="center"/>
          </w:tcPr>
          <w:p>
            <w:r/>
            <w:r>
              <w:rPr>
                <w:rFonts w:ascii="Arial" w:hAnsi="Arial"/>
                <w:sz w:val="15"/>
              </w:rPr>
              <w:t>GAGA – five datasets</w:t>
            </w:r>
          </w:p>
        </w:tc>
        <w:tc>
          <w:tcPr>
            <w:tcW w:type="dxa" w:w="2074"/>
            <w:vAlign w:val="center"/>
          </w:tcPr>
          <w:p>
            <w:r/>
            <w:r>
              <w:rPr>
                <w:rFonts w:ascii="Arial" w:hAnsi="Arial"/>
                <w:sz w:val="15"/>
              </w:rPr>
              <w:t>Single native *</w:t>
            </w:r>
          </w:p>
        </w:tc>
        <w:tc>
          <w:tcPr>
            <w:tcW w:type="dxa" w:w="2074"/>
            <w:vAlign w:val="center"/>
          </w:tcPr>
          <w:p>
            <w:r/>
            <w:r>
              <w:rPr>
                <w:rFonts w:ascii="Arial" w:hAnsi="Arial"/>
                <w:sz w:val="15"/>
              </w:rPr>
              <w:t>One native result per dataset</w:t>
            </w:r>
          </w:p>
        </w:tc>
        <w:tc>
          <w:tcPr>
            <w:tcW w:type="dxa" w:w="2074"/>
            <w:vAlign w:val="center"/>
          </w:tcPr>
          <w:p>
            <w:r/>
            <w:r>
              <w:rPr>
                <w:rFonts w:ascii="Arial" w:hAnsi="Arial"/>
                <w:sz w:val="15"/>
              </w:rPr>
              <w:t>Canonical TR40 first; if successful, freeze the winner and run lower ratios.</w:t>
            </w:r>
          </w:p>
        </w:tc>
        <w:tc>
          <w:tcPr>
            <w:tcW w:type="dxa" w:w="2074"/>
            <w:vAlign w:val="center"/>
          </w:tcPr>
          <w:p>
            <w:r/>
            <w:r>
              <w:rPr>
                <w:rFonts w:ascii="Arial" w:hAnsi="Arial"/>
                <w:sz w:val="15"/>
              </w:rPr>
              <w:t>The model is important for RQ4 because its preprocessing dominates cost.</w:t>
            </w:r>
          </w:p>
        </w:tc>
      </w:tr>
      <w:tr>
        <w:trPr>
          <w:cantSplit/>
        </w:trPr>
        <w:tc>
          <w:tcPr>
            <w:tcW w:type="dxa" w:w="2074"/>
            <w:vAlign w:val="center"/>
          </w:tcPr>
          <w:p>
            <w:r/>
            <w:r>
              <w:rPr>
                <w:rFonts w:ascii="Arial" w:hAnsi="Arial"/>
                <w:sz w:val="15"/>
              </w:rPr>
              <w:t>PC-GNN – T-Social</w:t>
            </w:r>
          </w:p>
        </w:tc>
        <w:tc>
          <w:tcPr>
            <w:tcW w:type="dxa" w:w="2074"/>
            <w:vAlign w:val="center"/>
          </w:tcPr>
          <w:p>
            <w:r/>
            <w:r>
              <w:rPr>
                <w:rFonts w:ascii="Arial" w:hAnsi="Arial"/>
                <w:sz w:val="15"/>
              </w:rPr>
              <w:t>—</w:t>
            </w:r>
          </w:p>
        </w:tc>
        <w:tc>
          <w:tcPr>
            <w:tcW w:type="dxa" w:w="2074"/>
            <w:vAlign w:val="center"/>
          </w:tcPr>
          <w:p>
            <w:r/>
            <w:r>
              <w:rPr>
                <w:rFonts w:ascii="Arial" w:hAnsi="Arial"/>
                <w:sz w:val="15"/>
              </w:rPr>
              <w:t>No reportable result</w:t>
            </w:r>
          </w:p>
        </w:tc>
        <w:tc>
          <w:tcPr>
            <w:tcW w:type="dxa" w:w="2074"/>
            <w:vAlign w:val="center"/>
          </w:tcPr>
          <w:p>
            <w:r/>
            <w:r>
              <w:rPr>
                <w:rFonts w:ascii="Arial" w:hAnsi="Arial"/>
                <w:sz w:val="15"/>
              </w:rPr>
              <w:t>Re-run compatibility gate and either obtain a defensible result or classify as infeasible with evidence.</w:t>
            </w:r>
          </w:p>
        </w:tc>
        <w:tc>
          <w:tcPr>
            <w:tcW w:type="dxa" w:w="2074"/>
            <w:vAlign w:val="center"/>
          </w:tcPr>
          <w:p>
            <w:r/>
            <w:r>
              <w:rPr>
                <w:rFonts w:ascii="Arial" w:hAnsi="Arial"/>
                <w:sz w:val="15"/>
              </w:rPr>
              <w:t>A blank cell is not an explanatory outcome until its cause is established.</w:t>
            </w:r>
          </w:p>
        </w:tc>
      </w:tr>
      <w:tr>
        <w:trPr>
          <w:cantSplit/>
        </w:trPr>
        <w:tc>
          <w:tcPr>
            <w:tcW w:type="dxa" w:w="2074"/>
            <w:vAlign w:val="center"/>
          </w:tcPr>
          <w:p>
            <w:r/>
            <w:r>
              <w:rPr>
                <w:rFonts w:ascii="Arial" w:hAnsi="Arial"/>
                <w:sz w:val="15"/>
              </w:rPr>
              <w:t>CARE-GNN/GHRN – T-Social</w:t>
            </w:r>
          </w:p>
        </w:tc>
        <w:tc>
          <w:tcPr>
            <w:tcW w:type="dxa" w:w="2074"/>
            <w:vAlign w:val="center"/>
          </w:tcPr>
          <w:p>
            <w:r/>
            <w:r>
              <w:rPr>
                <w:rFonts w:ascii="Arial" w:hAnsi="Arial"/>
                <w:sz w:val="15"/>
              </w:rPr>
              <w:t>FAILED</w:t>
            </w:r>
          </w:p>
        </w:tc>
        <w:tc>
          <w:tcPr>
            <w:tcW w:type="dxa" w:w="2074"/>
            <w:vAlign w:val="center"/>
          </w:tcPr>
          <w:p>
            <w:r/>
            <w:r>
              <w:rPr>
                <w:rFonts w:ascii="Arial" w:hAnsi="Arial"/>
                <w:sz w:val="15"/>
              </w:rPr>
              <w:t>Compute-budget and implementation limits</w:t>
            </w:r>
          </w:p>
        </w:tc>
        <w:tc>
          <w:tcPr>
            <w:tcW w:type="dxa" w:w="2074"/>
            <w:vAlign w:val="center"/>
          </w:tcPr>
          <w:p>
            <w:r/>
            <w:r>
              <w:rPr>
                <w:rFonts w:ascii="Arial" w:hAnsi="Arial"/>
                <w:sz w:val="15"/>
              </w:rPr>
              <w:t>Only retry if engineering changes preserve the model and protocol; otherwise retain failure evidence.</w:t>
            </w:r>
          </w:p>
        </w:tc>
        <w:tc>
          <w:tcPr>
            <w:tcW w:type="dxa" w:w="2074"/>
            <w:vAlign w:val="center"/>
          </w:tcPr>
          <w:p>
            <w:r/>
            <w:r>
              <w:rPr>
                <w:rFonts w:ascii="Arial" w:hAnsi="Arial"/>
                <w:sz w:val="15"/>
              </w:rPr>
              <w:t>The failures already contribute to RQ4 and should not be erased by forcing a score.</w:t>
            </w:r>
          </w:p>
        </w:tc>
      </w:tr>
    </w:tbl>
    <w:p/>
    <w:p>
      <w:pPr>
        <w:pStyle w:val="Heading1"/>
      </w:pPr>
      <w:r>
        <w:t>3. Scarcity-ladder completion</w:t>
      </w:r>
    </w:p>
    <w:p>
      <w:r>
        <w:rPr>
          <w:b/>
        </w:rPr>
        <w:t xml:space="preserve">Why this is separate from canonicalisation. </w:t>
      </w:r>
      <w:r>
        <w:t>A model can have a valid canonical TR40 result and still be incomplete for RQ2. The report shows full or partial scarcity curves for some models, but CARE-GNN and GHRN remain TR40-only on the five smaller datasets, FRAUDRE has mixed coverage, and GAGA/DGA-GNN need canonical TR40 evidence before lower-ratio runs are meaningful.</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FFF2CC"/>
            <w:vAlign w:val="center"/>
          </w:tcPr>
          <w:p>
            <w:r/>
            <w:r>
              <w:rPr>
                <w:rFonts w:ascii="Arial" w:hAnsi="Arial"/>
                <w:b/>
                <w:sz w:val="16"/>
              </w:rPr>
              <w:t>Model</w:t>
            </w:r>
          </w:p>
        </w:tc>
        <w:tc>
          <w:tcPr>
            <w:tcW w:type="dxa" w:w="2592"/>
            <w:shd w:fill="FFF2CC"/>
            <w:vAlign w:val="center"/>
          </w:tcPr>
          <w:p>
            <w:r/>
            <w:r>
              <w:rPr>
                <w:rFonts w:ascii="Arial" w:hAnsi="Arial"/>
                <w:b/>
                <w:sz w:val="16"/>
              </w:rPr>
              <w:t>Scope</w:t>
            </w:r>
          </w:p>
        </w:tc>
        <w:tc>
          <w:tcPr>
            <w:tcW w:type="dxa" w:w="2592"/>
            <w:shd w:fill="FFF2CC"/>
            <w:vAlign w:val="center"/>
          </w:tcPr>
          <w:p>
            <w:r/>
            <w:r>
              <w:rPr>
                <w:rFonts w:ascii="Arial" w:hAnsi="Arial"/>
                <w:b/>
                <w:sz w:val="16"/>
              </w:rPr>
              <w:t>What remains</w:t>
            </w:r>
          </w:p>
        </w:tc>
        <w:tc>
          <w:tcPr>
            <w:tcW w:type="dxa" w:w="2592"/>
            <w:shd w:fill="FFF2CC"/>
            <w:vAlign w:val="center"/>
          </w:tcPr>
          <w:p>
            <w:r/>
            <w:r>
              <w:rPr>
                <w:rFonts w:ascii="Arial" w:hAnsi="Arial"/>
                <w:b/>
                <w:sz w:val="16"/>
              </w:rPr>
              <w:t>Execution rule</w:t>
            </w:r>
          </w:p>
        </w:tc>
      </w:tr>
      <w:tr>
        <w:trPr>
          <w:cantSplit/>
        </w:trPr>
        <w:tc>
          <w:tcPr>
            <w:tcW w:type="dxa" w:w="2592"/>
            <w:vAlign w:val="center"/>
          </w:tcPr>
          <w:p>
            <w:r/>
            <w:r>
              <w:rPr>
                <w:rFonts w:ascii="Arial" w:hAnsi="Arial"/>
                <w:sz w:val="16"/>
              </w:rPr>
              <w:t>CARE-GNN</w:t>
            </w:r>
          </w:p>
        </w:tc>
        <w:tc>
          <w:tcPr>
            <w:tcW w:type="dxa" w:w="2592"/>
            <w:vAlign w:val="center"/>
          </w:tcPr>
          <w:p>
            <w:r/>
            <w:r>
              <w:rPr>
                <w:rFonts w:ascii="Arial" w:hAnsi="Arial"/>
                <w:sz w:val="16"/>
              </w:rPr>
              <w:t>Five non-T-Social datasets</w:t>
            </w:r>
          </w:p>
        </w:tc>
        <w:tc>
          <w:tcPr>
            <w:tcW w:type="dxa" w:w="2592"/>
            <w:vAlign w:val="center"/>
          </w:tcPr>
          <w:p>
            <w:r/>
            <w:r>
              <w:rPr>
                <w:rFonts w:ascii="Arial" w:hAnsi="Arial"/>
                <w:sz w:val="16"/>
              </w:rPr>
              <w:t>TR30/TR20/TR10</w:t>
            </w:r>
          </w:p>
        </w:tc>
        <w:tc>
          <w:tcPr>
            <w:tcW w:type="dxa" w:w="2592"/>
            <w:vAlign w:val="center"/>
          </w:tcPr>
          <w:p>
            <w:r/>
            <w:r>
              <w:rPr>
                <w:rFonts w:ascii="Arial" w:hAnsi="Arial"/>
                <w:sz w:val="16"/>
              </w:rPr>
              <w:t>Use frozen TR40 configuration; seeds 2/42/72.</w:t>
            </w:r>
          </w:p>
        </w:tc>
      </w:tr>
      <w:tr>
        <w:trPr>
          <w:cantSplit/>
        </w:trPr>
        <w:tc>
          <w:tcPr>
            <w:tcW w:type="dxa" w:w="2592"/>
            <w:vAlign w:val="center"/>
          </w:tcPr>
          <w:p>
            <w:r/>
            <w:r>
              <w:rPr>
                <w:rFonts w:ascii="Arial" w:hAnsi="Arial"/>
                <w:sz w:val="16"/>
              </w:rPr>
              <w:t>GHRN</w:t>
            </w:r>
          </w:p>
        </w:tc>
        <w:tc>
          <w:tcPr>
            <w:tcW w:type="dxa" w:w="2592"/>
            <w:vAlign w:val="center"/>
          </w:tcPr>
          <w:p>
            <w:r/>
            <w:r>
              <w:rPr>
                <w:rFonts w:ascii="Arial" w:hAnsi="Arial"/>
                <w:sz w:val="16"/>
              </w:rPr>
              <w:t>Five non-T-Social datasets</w:t>
            </w:r>
          </w:p>
        </w:tc>
        <w:tc>
          <w:tcPr>
            <w:tcW w:type="dxa" w:w="2592"/>
            <w:vAlign w:val="center"/>
          </w:tcPr>
          <w:p>
            <w:r/>
            <w:r>
              <w:rPr>
                <w:rFonts w:ascii="Arial" w:hAnsi="Arial"/>
                <w:sz w:val="16"/>
              </w:rPr>
              <w:t>TR30/TR20/TR10</w:t>
            </w:r>
          </w:p>
        </w:tc>
        <w:tc>
          <w:tcPr>
            <w:tcW w:type="dxa" w:w="2592"/>
            <w:vAlign w:val="center"/>
          </w:tcPr>
          <w:p>
            <w:r/>
            <w:r>
              <w:rPr>
                <w:rFonts w:ascii="Arial" w:hAnsi="Arial"/>
                <w:sz w:val="16"/>
              </w:rPr>
              <w:t>Also enforce between-stage checkpoint selection as defined by the protocol.</w:t>
            </w:r>
          </w:p>
        </w:tc>
      </w:tr>
      <w:tr>
        <w:trPr>
          <w:cantSplit/>
        </w:trPr>
        <w:tc>
          <w:tcPr>
            <w:tcW w:type="dxa" w:w="2592"/>
            <w:vAlign w:val="center"/>
          </w:tcPr>
          <w:p>
            <w:r/>
            <w:r>
              <w:rPr>
                <w:rFonts w:ascii="Arial" w:hAnsi="Arial"/>
                <w:sz w:val="16"/>
              </w:rPr>
              <w:t>FRAUDRE</w:t>
            </w:r>
          </w:p>
        </w:tc>
        <w:tc>
          <w:tcPr>
            <w:tcW w:type="dxa" w:w="2592"/>
            <w:vAlign w:val="center"/>
          </w:tcPr>
          <w:p>
            <w:r/>
            <w:r>
              <w:rPr>
                <w:rFonts w:ascii="Arial" w:hAnsi="Arial"/>
                <w:sz w:val="16"/>
              </w:rPr>
              <w:t>YelpChi, T-Finance, T-Social</w:t>
            </w:r>
          </w:p>
        </w:tc>
        <w:tc>
          <w:tcPr>
            <w:tcW w:type="dxa" w:w="2592"/>
            <w:vAlign w:val="center"/>
          </w:tcPr>
          <w:p>
            <w:r/>
            <w:r>
              <w:rPr>
                <w:rFonts w:ascii="Arial" w:hAnsi="Arial"/>
                <w:sz w:val="16"/>
              </w:rPr>
              <w:t>Lower ratios</w:t>
            </w:r>
          </w:p>
        </w:tc>
        <w:tc>
          <w:tcPr>
            <w:tcW w:type="dxa" w:w="2592"/>
            <w:vAlign w:val="center"/>
          </w:tcPr>
          <w:p>
            <w:r/>
            <w:r>
              <w:rPr>
                <w:rFonts w:ascii="Arial" w:hAnsi="Arial"/>
                <w:sz w:val="16"/>
              </w:rPr>
              <w:t>First verify split status; do not reuse non-canonical Elliptic logic.</w:t>
            </w:r>
          </w:p>
        </w:tc>
      </w:tr>
      <w:tr>
        <w:trPr>
          <w:cantSplit/>
        </w:trPr>
        <w:tc>
          <w:tcPr>
            <w:tcW w:type="dxa" w:w="2592"/>
            <w:vAlign w:val="center"/>
          </w:tcPr>
          <w:p>
            <w:r/>
            <w:r>
              <w:rPr>
                <w:rFonts w:ascii="Arial" w:hAnsi="Arial"/>
                <w:sz w:val="16"/>
              </w:rPr>
              <w:t>GAGA</w:t>
            </w:r>
          </w:p>
        </w:tc>
        <w:tc>
          <w:tcPr>
            <w:tcW w:type="dxa" w:w="2592"/>
            <w:vAlign w:val="center"/>
          </w:tcPr>
          <w:p>
            <w:r/>
            <w:r>
              <w:rPr>
                <w:rFonts w:ascii="Arial" w:hAnsi="Arial"/>
                <w:sz w:val="16"/>
              </w:rPr>
              <w:t>Reported datasets</w:t>
            </w:r>
          </w:p>
        </w:tc>
        <w:tc>
          <w:tcPr>
            <w:tcW w:type="dxa" w:w="2592"/>
            <w:vAlign w:val="center"/>
          </w:tcPr>
          <w:p>
            <w:r/>
            <w:r>
              <w:rPr>
                <w:rFonts w:ascii="Arial" w:hAnsi="Arial"/>
                <w:sz w:val="16"/>
              </w:rPr>
              <w:t>Full canonical ladder</w:t>
            </w:r>
          </w:p>
        </w:tc>
        <w:tc>
          <w:tcPr>
            <w:tcW w:type="dxa" w:w="2592"/>
            <w:vAlign w:val="center"/>
          </w:tcPr>
          <w:p>
            <w:r/>
            <w:r>
              <w:rPr>
                <w:rFonts w:ascii="Arial" w:hAnsi="Arial"/>
                <w:sz w:val="16"/>
              </w:rPr>
              <w:t>Canonicalise TR40 first, then freeze winner.</w:t>
            </w:r>
          </w:p>
        </w:tc>
      </w:tr>
      <w:tr>
        <w:trPr>
          <w:cantSplit/>
        </w:trPr>
        <w:tc>
          <w:tcPr>
            <w:tcW w:type="dxa" w:w="2592"/>
            <w:vAlign w:val="center"/>
          </w:tcPr>
          <w:p>
            <w:r/>
            <w:r>
              <w:rPr>
                <w:rFonts w:ascii="Arial" w:hAnsi="Arial"/>
                <w:sz w:val="16"/>
              </w:rPr>
              <w:t>DGA-GNN</w:t>
            </w:r>
          </w:p>
        </w:tc>
        <w:tc>
          <w:tcPr>
            <w:tcW w:type="dxa" w:w="2592"/>
            <w:vAlign w:val="center"/>
          </w:tcPr>
          <w:p>
            <w:r/>
            <w:r>
              <w:rPr>
                <w:rFonts w:ascii="Arial" w:hAnsi="Arial"/>
                <w:sz w:val="16"/>
              </w:rPr>
              <w:t>All compatible datasets</w:t>
            </w:r>
          </w:p>
        </w:tc>
        <w:tc>
          <w:tcPr>
            <w:tcW w:type="dxa" w:w="2592"/>
            <w:vAlign w:val="center"/>
          </w:tcPr>
          <w:p>
            <w:r/>
            <w:r>
              <w:rPr>
                <w:rFonts w:ascii="Arial" w:hAnsi="Arial"/>
                <w:sz w:val="16"/>
              </w:rPr>
              <w:t>Full canonical ladder</w:t>
            </w:r>
          </w:p>
        </w:tc>
        <w:tc>
          <w:tcPr>
            <w:tcW w:type="dxa" w:w="2592"/>
            <w:vAlign w:val="center"/>
          </w:tcPr>
          <w:p>
            <w:r/>
            <w:r>
              <w:rPr>
                <w:rFonts w:ascii="Arial" w:hAnsi="Arial"/>
                <w:sz w:val="16"/>
              </w:rPr>
              <w:t>Canonicalise TR40 first; retain collapse logs.</w:t>
            </w:r>
          </w:p>
        </w:tc>
      </w:tr>
      <w:tr>
        <w:trPr>
          <w:cantSplit/>
        </w:trPr>
        <w:tc>
          <w:tcPr>
            <w:tcW w:type="dxa" w:w="2592"/>
            <w:vAlign w:val="center"/>
          </w:tcPr>
          <w:p>
            <w:r/>
            <w:r>
              <w:rPr>
                <w:rFonts w:ascii="Arial" w:hAnsi="Arial"/>
                <w:sz w:val="16"/>
              </w:rPr>
              <w:t>GAAP/PMP</w:t>
            </w:r>
          </w:p>
        </w:tc>
        <w:tc>
          <w:tcPr>
            <w:tcW w:type="dxa" w:w="2592"/>
            <w:vAlign w:val="center"/>
          </w:tcPr>
          <w:p>
            <w:r/>
            <w:r>
              <w:rPr>
                <w:rFonts w:ascii="Arial" w:hAnsi="Arial"/>
                <w:sz w:val="16"/>
              </w:rPr>
              <w:t>T-Social</w:t>
            </w:r>
          </w:p>
        </w:tc>
        <w:tc>
          <w:tcPr>
            <w:tcW w:type="dxa" w:w="2592"/>
            <w:vAlign w:val="center"/>
          </w:tcPr>
          <w:p>
            <w:r/>
            <w:r>
              <w:rPr>
                <w:rFonts w:ascii="Arial" w:hAnsi="Arial"/>
                <w:sz w:val="16"/>
              </w:rPr>
              <w:t>VERIFY before running</w:t>
            </w:r>
          </w:p>
        </w:tc>
        <w:tc>
          <w:tcPr>
            <w:tcW w:type="dxa" w:w="2592"/>
            <w:vAlign w:val="center"/>
          </w:tcPr>
          <w:p>
            <w:r/>
            <w:r>
              <w:rPr>
                <w:rFonts w:ascii="Arial" w:hAnsi="Arial"/>
                <w:sz w:val="16"/>
              </w:rPr>
              <w:t>Resolve the report/artifact conflict first; do not duplicate runs if multi-ratio evidence already exists.</w:t>
            </w:r>
          </w:p>
        </w:tc>
      </w:tr>
      <w:tr>
        <w:trPr>
          <w:cantSplit/>
        </w:trPr>
        <w:tc>
          <w:tcPr>
            <w:tcW w:type="dxa" w:w="2592"/>
            <w:vAlign w:val="center"/>
          </w:tcPr>
          <w:p>
            <w:r/>
            <w:r>
              <w:rPr>
                <w:rFonts w:ascii="Arial" w:hAnsi="Arial"/>
                <w:sz w:val="16"/>
              </w:rPr>
              <w:t>BWGNN</w:t>
            </w:r>
          </w:p>
        </w:tc>
        <w:tc>
          <w:tcPr>
            <w:tcW w:type="dxa" w:w="2592"/>
            <w:vAlign w:val="center"/>
          </w:tcPr>
          <w:p>
            <w:r/>
            <w:r>
              <w:rPr>
                <w:rFonts w:ascii="Arial" w:hAnsi="Arial"/>
                <w:sz w:val="16"/>
              </w:rPr>
              <w:t>All six</w:t>
            </w:r>
          </w:p>
        </w:tc>
        <w:tc>
          <w:tcPr>
            <w:tcW w:type="dxa" w:w="2592"/>
            <w:vAlign w:val="center"/>
          </w:tcPr>
          <w:p>
            <w:r/>
            <w:r>
              <w:rPr>
                <w:rFonts w:ascii="Arial" w:hAnsi="Arial"/>
                <w:sz w:val="16"/>
              </w:rPr>
              <w:t>Reference complete ladder</w:t>
            </w:r>
          </w:p>
        </w:tc>
        <w:tc>
          <w:tcPr>
            <w:tcW w:type="dxa" w:w="2592"/>
            <w:vAlign w:val="center"/>
          </w:tcPr>
          <w:p>
            <w:r/>
            <w:r>
              <w:rPr>
                <w:rFonts w:ascii="Arial" w:hAnsi="Arial"/>
                <w:sz w:val="16"/>
              </w:rPr>
              <w:t>Use as a benchmark reference unless the T-Finance split audit changes its data.</w:t>
            </w:r>
          </w:p>
        </w:tc>
      </w:tr>
    </w:tbl>
    <w:p/>
    <w:p>
      <w:pPr>
        <w:pStyle w:val="Heading1"/>
      </w:pPr>
      <w:r>
        <w:t>4. T-Finance revalidation: exact sequence</w:t>
      </w:r>
    </w:p>
    <w:p>
      <w:r>
        <w:rPr>
          <w:b/>
        </w:rPr>
        <w:t xml:space="preserve">Verify the corrected label state. </w:t>
      </w:r>
      <w:r>
        <w:t>Recompute fraud/normal counts from the processed graph and confirm 1,804 fraud nodes.</w:t>
      </w:r>
    </w:p>
    <w:p>
      <w:r>
        <w:rPr>
          <w:b/>
        </w:rPr>
        <w:t xml:space="preserve">Verify dataset provenance. </w:t>
      </w:r>
      <w:r>
        <w:t>Record the source and processed-graph hashes used by the benchmark.</w:t>
      </w:r>
    </w:p>
    <w:p>
      <w:r>
        <w:rPr>
          <w:b/>
        </w:rPr>
        <w:t xml:space="preserve">Verify split provenance. </w:t>
      </w:r>
      <w:r>
        <w:t>Check whether the frozen split was generated after the correction and whether its IDs are unchanged.</w:t>
      </w:r>
    </w:p>
    <w:p>
      <w:r>
        <w:rPr>
          <w:b/>
        </w:rPr>
        <w:t xml:space="preserve">Classify existing runs. </w:t>
      </w:r>
      <w:r>
        <w:t>If the split changed, mark affected results stale; if it did not, document why rerunning is unnecessary.</w:t>
      </w:r>
    </w:p>
    <w:p>
      <w:r>
        <w:rPr>
          <w:b/>
        </w:rPr>
        <w:t xml:space="preserve">Rerun only what is affected. </w:t>
      </w:r>
      <w:r>
        <w:t>Do not automatically retune every model. Rerun the minimum required to restore protocol consistency.</w:t>
      </w:r>
    </w:p>
    <w:p>
      <w:r>
        <w:rPr>
          <w:b/>
        </w:rPr>
        <w:t xml:space="preserve">Rebuild summaries. </w:t>
      </w:r>
      <w:r>
        <w:t>Regenerate per-seed metrics, means/SDs, lift and cost rows, then update the master register.</w:t>
      </w:r>
    </w:p>
    <w:p>
      <w:r>
        <w:rPr>
          <w:b/>
        </w:rPr>
        <w:t xml:space="preserve">Archive the correction. </w:t>
      </w:r>
      <w:r>
        <w:t>Keep a before/after note so a future reader can understand exactly what changed.</w:t>
      </w:r>
    </w:p>
    <w:p>
      <w:pPr>
        <w:pStyle w:val="Heading1"/>
      </w:pPr>
      <w:r>
        <w:t>5. Cost standardisation for RQ4</w:t>
      </w:r>
    </w:p>
    <w:p>
      <w:r>
        <w:rPr>
          <w:b/>
        </w:rPr>
        <w:t xml:space="preserve">The problem in the current report. </w:t>
      </w:r>
      <w:r>
        <w:t>The report observes training times spanning more than four orders of magnitude, but it also warns that timing boundaries differ across pipelines. GAGA demonstrates why: preprocessing alone can exceed summed epoch time by 38× on T-Finance and 14× on T-Social. A fair cost comparison therefore has to separate stages rather than report one undifferentiated runtime.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DEBF7"/>
            <w:vAlign w:val="center"/>
          </w:tcPr>
          <w:p>
            <w:r/>
            <w:r>
              <w:rPr>
                <w:rFonts w:ascii="Arial" w:hAnsi="Arial"/>
                <w:b/>
                <w:sz w:val="16"/>
              </w:rPr>
              <w:t>Field</w:t>
            </w:r>
          </w:p>
        </w:tc>
        <w:tc>
          <w:tcPr>
            <w:tcW w:type="dxa" w:w="3456"/>
            <w:shd w:fill="DDEBF7"/>
            <w:vAlign w:val="center"/>
          </w:tcPr>
          <w:p>
            <w:r/>
            <w:r>
              <w:rPr>
                <w:rFonts w:ascii="Arial" w:hAnsi="Arial"/>
                <w:b/>
                <w:sz w:val="16"/>
              </w:rPr>
              <w:t>Boundary</w:t>
            </w:r>
          </w:p>
        </w:tc>
        <w:tc>
          <w:tcPr>
            <w:tcW w:type="dxa" w:w="3456"/>
            <w:shd w:fill="DDEBF7"/>
            <w:vAlign w:val="center"/>
          </w:tcPr>
          <w:p>
            <w:r/>
            <w:r>
              <w:rPr>
                <w:rFonts w:ascii="Arial" w:hAnsi="Arial"/>
                <w:b/>
                <w:sz w:val="16"/>
              </w:rPr>
              <w:t>Reason</w:t>
            </w:r>
          </w:p>
        </w:tc>
      </w:tr>
      <w:tr>
        <w:trPr>
          <w:cantSplit/>
        </w:trPr>
        <w:tc>
          <w:tcPr>
            <w:tcW w:type="dxa" w:w="3456"/>
            <w:vAlign w:val="center"/>
          </w:tcPr>
          <w:p>
            <w:r/>
            <w:r>
              <w:rPr>
                <w:rFonts w:ascii="Arial" w:hAnsi="Arial"/>
                <w:sz w:val="16"/>
              </w:rPr>
              <w:t>Preprocessing/setup</w:t>
            </w:r>
          </w:p>
        </w:tc>
        <w:tc>
          <w:tcPr>
            <w:tcW w:type="dxa" w:w="3456"/>
            <w:vAlign w:val="center"/>
          </w:tcPr>
          <w:p>
            <w:r/>
            <w:r>
              <w:rPr>
                <w:rFonts w:ascii="Arial" w:hAnsi="Arial"/>
                <w:sz w:val="16"/>
              </w:rPr>
              <w:t>From start of model-specific data transformation to training-ready state; exclude package installation and one-off environment repair.</w:t>
            </w:r>
          </w:p>
        </w:tc>
        <w:tc>
          <w:tcPr>
            <w:tcW w:type="dxa" w:w="3456"/>
            <w:vAlign w:val="center"/>
          </w:tcPr>
          <w:p>
            <w:r/>
            <w:r>
              <w:rPr>
                <w:rFonts w:ascii="Arial" w:hAnsi="Arial"/>
                <w:sz w:val="16"/>
              </w:rPr>
              <w:t>Shows whether data conversion dominates execution.</w:t>
            </w:r>
          </w:p>
        </w:tc>
      </w:tr>
      <w:tr>
        <w:trPr>
          <w:cantSplit/>
        </w:trPr>
        <w:tc>
          <w:tcPr>
            <w:tcW w:type="dxa" w:w="3456"/>
            <w:vAlign w:val="center"/>
          </w:tcPr>
          <w:p>
            <w:r/>
            <w:r>
              <w:rPr>
                <w:rFonts w:ascii="Arial" w:hAnsi="Arial"/>
                <w:sz w:val="16"/>
              </w:rPr>
              <w:t>Training-only</w:t>
            </w:r>
          </w:p>
        </w:tc>
        <w:tc>
          <w:tcPr>
            <w:tcW w:type="dxa" w:w="3456"/>
            <w:vAlign w:val="center"/>
          </w:tcPr>
          <w:p>
            <w:r/>
            <w:r>
              <w:rPr>
                <w:rFonts w:ascii="Arial" w:hAnsi="Arial"/>
                <w:sz w:val="16"/>
              </w:rPr>
              <w:t>First training batch to last training batch; validation excluded.</w:t>
            </w:r>
          </w:p>
        </w:tc>
        <w:tc>
          <w:tcPr>
            <w:tcW w:type="dxa" w:w="3456"/>
            <w:vAlign w:val="center"/>
          </w:tcPr>
          <w:p>
            <w:r/>
            <w:r>
              <w:rPr>
                <w:rFonts w:ascii="Arial" w:hAnsi="Arial"/>
                <w:sz w:val="16"/>
              </w:rPr>
              <w:t>Comparable core optimisation cost.</w:t>
            </w:r>
          </w:p>
        </w:tc>
      </w:tr>
      <w:tr>
        <w:trPr>
          <w:cantSplit/>
        </w:trPr>
        <w:tc>
          <w:tcPr>
            <w:tcW w:type="dxa" w:w="3456"/>
            <w:vAlign w:val="center"/>
          </w:tcPr>
          <w:p>
            <w:r/>
            <w:r>
              <w:rPr>
                <w:rFonts w:ascii="Arial" w:hAnsi="Arial"/>
                <w:sz w:val="16"/>
              </w:rPr>
              <w:t>Validation/inference</w:t>
            </w:r>
          </w:p>
        </w:tc>
        <w:tc>
          <w:tcPr>
            <w:tcW w:type="dxa" w:w="3456"/>
            <w:vAlign w:val="center"/>
          </w:tcPr>
          <w:p>
            <w:r/>
            <w:r>
              <w:rPr>
                <w:rFonts w:ascii="Arial" w:hAnsi="Arial"/>
                <w:sz w:val="16"/>
              </w:rPr>
              <w:t>Validation passes and final test inference recorded separately.</w:t>
            </w:r>
          </w:p>
        </w:tc>
        <w:tc>
          <w:tcPr>
            <w:tcW w:type="dxa" w:w="3456"/>
            <w:vAlign w:val="center"/>
          </w:tcPr>
          <w:p>
            <w:r/>
            <w:r>
              <w:rPr>
                <w:rFonts w:ascii="Arial" w:hAnsi="Arial"/>
                <w:sz w:val="16"/>
              </w:rPr>
              <w:t>Important for models such as CARE-GNN where large validation is itself expensive.</w:t>
            </w:r>
          </w:p>
        </w:tc>
      </w:tr>
      <w:tr>
        <w:trPr>
          <w:cantSplit/>
        </w:trPr>
        <w:tc>
          <w:tcPr>
            <w:tcW w:type="dxa" w:w="3456"/>
            <w:vAlign w:val="center"/>
          </w:tcPr>
          <w:p>
            <w:r/>
            <w:r>
              <w:rPr>
                <w:rFonts w:ascii="Arial" w:hAnsi="Arial"/>
                <w:sz w:val="16"/>
              </w:rPr>
              <w:t>Peak GPU memory</w:t>
            </w:r>
          </w:p>
        </w:tc>
        <w:tc>
          <w:tcPr>
            <w:tcW w:type="dxa" w:w="3456"/>
            <w:vAlign w:val="center"/>
          </w:tcPr>
          <w:p>
            <w:r/>
            <w:r>
              <w:rPr>
                <w:rFonts w:ascii="Arial" w:hAnsi="Arial"/>
                <w:sz w:val="16"/>
              </w:rPr>
              <w:t>Use one definition and same A6000-class hardware where possible.</w:t>
            </w:r>
          </w:p>
        </w:tc>
        <w:tc>
          <w:tcPr>
            <w:tcW w:type="dxa" w:w="3456"/>
            <w:vAlign w:val="center"/>
          </w:tcPr>
          <w:p>
            <w:r/>
            <w:r>
              <w:rPr>
                <w:rFonts w:ascii="Arial" w:hAnsi="Arial"/>
                <w:sz w:val="16"/>
              </w:rPr>
              <w:t>Prevents 'fits/does not fit' conclusions from being hardware-ambiguous.</w:t>
            </w:r>
          </w:p>
        </w:tc>
      </w:tr>
      <w:tr>
        <w:trPr>
          <w:cantSplit/>
        </w:trPr>
        <w:tc>
          <w:tcPr>
            <w:tcW w:type="dxa" w:w="3456"/>
            <w:vAlign w:val="center"/>
          </w:tcPr>
          <w:p>
            <w:r/>
            <w:r>
              <w:rPr>
                <w:rFonts w:ascii="Arial" w:hAnsi="Arial"/>
                <w:sz w:val="16"/>
              </w:rPr>
              <w:t>Failure cost</w:t>
            </w:r>
          </w:p>
        </w:tc>
        <w:tc>
          <w:tcPr>
            <w:tcW w:type="dxa" w:w="3456"/>
            <w:vAlign w:val="center"/>
          </w:tcPr>
          <w:p>
            <w:r/>
            <w:r>
              <w:rPr>
                <w:rFonts w:ascii="Arial" w:hAnsi="Arial"/>
                <w:sz w:val="16"/>
              </w:rPr>
              <w:t>Time/memory consumed before failure, plus stage and cause.</w:t>
            </w:r>
          </w:p>
        </w:tc>
        <w:tc>
          <w:tcPr>
            <w:tcW w:type="dxa" w:w="3456"/>
            <w:vAlign w:val="center"/>
          </w:tcPr>
          <w:p>
            <w:r/>
            <w:r>
              <w:rPr>
                <w:rFonts w:ascii="Arial" w:hAnsi="Arial"/>
                <w:sz w:val="16"/>
              </w:rPr>
              <w:t>Makes infeasibility informative rather than a blank cell.</w:t>
            </w:r>
          </w:p>
        </w:tc>
      </w:tr>
    </w:tbl>
    <w:p/>
    <w:p>
      <w:pPr>
        <w:pStyle w:val="Heading1"/>
      </w:pPr>
      <w:r>
        <w:t>6. What should not be changed during closure</w:t>
      </w:r>
    </w:p>
    <w:p>
      <w:pPr>
        <w:pStyle w:val="ListBullet"/>
        <w:spacing w:after="40"/>
      </w:pPr>
      <w:r>
        <w:rPr>
          <w:rFonts w:ascii="Arial" w:hAnsi="Arial"/>
          <w:sz w:val="20"/>
        </w:rPr>
        <w:t>Do not alter model architecture, loss, fraud-specific mechanism or graph semantics simply to obtain a result.</w:t>
      </w:r>
    </w:p>
    <w:p>
      <w:pPr>
        <w:pStyle w:val="ListBullet"/>
        <w:spacing w:after="40"/>
      </w:pPr>
      <w:r>
        <w:rPr>
          <w:rFonts w:ascii="Arial" w:hAnsi="Arial"/>
          <w:sz w:val="20"/>
        </w:rPr>
        <w:t>Do not retune lower-ratio runs independently; the TR40 winner stays frozen.</w:t>
      </w:r>
    </w:p>
    <w:p>
      <w:pPr>
        <w:pStyle w:val="ListBullet"/>
        <w:spacing w:after="40"/>
      </w:pPr>
      <w:r>
        <w:rPr>
          <w:rFonts w:ascii="Arial" w:hAnsi="Arial"/>
          <w:sz w:val="20"/>
        </w:rPr>
        <w:t>Do not use test metrics to choose hyperparameters, checkpoints or thresholds.</w:t>
      </w:r>
    </w:p>
    <w:p>
      <w:pPr>
        <w:pStyle w:val="ListBullet"/>
        <w:spacing w:after="40"/>
      </w:pPr>
      <w:r>
        <w:rPr>
          <w:rFonts w:ascii="Arial" w:hAnsi="Arial"/>
          <w:sz w:val="20"/>
        </w:rPr>
        <w:t>Do not convert native/non-canonical evidence into 'canonical' by relabelling it; rerun or keep it separate.</w:t>
      </w:r>
    </w:p>
    <w:p>
      <w:pPr>
        <w:pStyle w:val="ListBullet"/>
        <w:spacing w:after="40"/>
      </w:pPr>
      <w:r>
        <w:rPr>
          <w:rFonts w:ascii="Arial" w:hAnsi="Arial"/>
          <w:sz w:val="20"/>
        </w:rPr>
        <w:t>Do not discard failed runs. Their logs are part of the benchmark's scalability and implementation evidence.</w:t>
      </w:r>
    </w:p>
    <w:p>
      <w:pPr>
        <w:pStyle w:val="ListBullet"/>
        <w:spacing w:after="40"/>
      </w:pPr>
      <w:r>
        <w:rPr>
          <w:rFonts w:ascii="Arial" w:hAnsi="Arial"/>
          <w:sz w:val="20"/>
        </w:rPr>
        <w:t>Do not start a new model/dataset expansion until the current evidence status is known.</w:t>
      </w:r>
    </w:p>
    <w:p>
      <w:pPr>
        <w:pStyle w:val="Heading1"/>
      </w:pPr>
      <w:r>
        <w:t>7. Deliverables to take to Venus</w:t>
      </w:r>
    </w:p>
    <w:p>
      <w:r>
        <w:rPr>
          <w:b/>
        </w:rPr>
        <w:t xml:space="preserve">The closure phase should produce a small set of supervisor-facing outputs rather than dozens of raw logs. </w:t>
      </w:r>
      <w:r>
        <w:t>These are the items that make the next meeting efficient and allow Venus to decide whether the project should deepen or broaden.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E2F0D9"/>
            <w:vAlign w:val="center"/>
          </w:tcPr>
          <w:p>
            <w:r/>
            <w:r>
              <w:rPr>
                <w:rFonts w:ascii="Arial" w:hAnsi="Arial"/>
                <w:b/>
                <w:sz w:val="16"/>
              </w:rPr>
              <w:t>Deliverable</w:t>
            </w:r>
          </w:p>
        </w:tc>
        <w:tc>
          <w:tcPr>
            <w:tcW w:type="dxa" w:w="3456"/>
            <w:shd w:fill="E2F0D9"/>
            <w:vAlign w:val="center"/>
          </w:tcPr>
          <w:p>
            <w:r/>
            <w:r>
              <w:rPr>
                <w:rFonts w:ascii="Arial" w:hAnsi="Arial"/>
                <w:b/>
                <w:sz w:val="16"/>
              </w:rPr>
              <w:t>Contents</w:t>
            </w:r>
          </w:p>
        </w:tc>
        <w:tc>
          <w:tcPr>
            <w:tcW w:type="dxa" w:w="3456"/>
            <w:shd w:fill="E2F0D9"/>
            <w:vAlign w:val="center"/>
          </w:tcPr>
          <w:p>
            <w:r/>
            <w:r>
              <w:rPr>
                <w:rFonts w:ascii="Arial" w:hAnsi="Arial"/>
                <w:b/>
                <w:sz w:val="16"/>
              </w:rPr>
              <w:t>Why show Venus</w:t>
            </w:r>
          </w:p>
        </w:tc>
      </w:tr>
      <w:tr>
        <w:trPr>
          <w:cantSplit/>
        </w:trPr>
        <w:tc>
          <w:tcPr>
            <w:tcW w:type="dxa" w:w="3456"/>
            <w:vAlign w:val="center"/>
          </w:tcPr>
          <w:p>
            <w:r/>
            <w:r>
              <w:rPr>
                <w:rFonts w:ascii="Arial" w:hAnsi="Arial"/>
                <w:sz w:val="16"/>
              </w:rPr>
              <w:t>1. Evidence matrix</w:t>
            </w:r>
          </w:p>
        </w:tc>
        <w:tc>
          <w:tcPr>
            <w:tcW w:type="dxa" w:w="3456"/>
            <w:vAlign w:val="center"/>
          </w:tcPr>
          <w:p>
            <w:r/>
            <w:r>
              <w:rPr>
                <w:rFonts w:ascii="Arial" w:hAnsi="Arial"/>
                <w:sz w:val="16"/>
              </w:rPr>
              <w:t>10×6 cells with canonicality, seeds, ratios, hashes, final/provisional/failed and evidence path.</w:t>
            </w:r>
          </w:p>
        </w:tc>
        <w:tc>
          <w:tcPr>
            <w:tcW w:type="dxa" w:w="3456"/>
            <w:vAlign w:val="center"/>
          </w:tcPr>
          <w:p>
            <w:r/>
            <w:r>
              <w:rPr>
                <w:rFonts w:ascii="Arial" w:hAnsi="Arial"/>
                <w:sz w:val="16"/>
              </w:rPr>
              <w:t>Shows exactly what is strong and what still needs work.</w:t>
            </w:r>
          </w:p>
        </w:tc>
      </w:tr>
      <w:tr>
        <w:trPr>
          <w:cantSplit/>
        </w:trPr>
        <w:tc>
          <w:tcPr>
            <w:tcW w:type="dxa" w:w="3456"/>
            <w:vAlign w:val="center"/>
          </w:tcPr>
          <w:p>
            <w:r/>
            <w:r>
              <w:rPr>
                <w:rFonts w:ascii="Arial" w:hAnsi="Arial"/>
                <w:sz w:val="16"/>
              </w:rPr>
              <w:t>2. Closure tracker</w:t>
            </w:r>
          </w:p>
        </w:tc>
        <w:tc>
          <w:tcPr>
            <w:tcW w:type="dxa" w:w="3456"/>
            <w:vAlign w:val="center"/>
          </w:tcPr>
          <w:p>
            <w:r/>
            <w:r>
              <w:rPr>
                <w:rFonts w:ascii="Arial" w:hAnsi="Arial"/>
                <w:sz w:val="16"/>
              </w:rPr>
              <w:t>Each unresolved item, owner, action, expected runtime and completion state.</w:t>
            </w:r>
          </w:p>
        </w:tc>
        <w:tc>
          <w:tcPr>
            <w:tcW w:type="dxa" w:w="3456"/>
            <w:vAlign w:val="center"/>
          </w:tcPr>
          <w:p>
            <w:r/>
            <w:r>
              <w:rPr>
                <w:rFonts w:ascii="Arial" w:hAnsi="Arial"/>
                <w:sz w:val="16"/>
              </w:rPr>
              <w:t>Makes scope visible and prevents duplicated effort.</w:t>
            </w:r>
          </w:p>
        </w:tc>
      </w:tr>
      <w:tr>
        <w:trPr>
          <w:cantSplit/>
        </w:trPr>
        <w:tc>
          <w:tcPr>
            <w:tcW w:type="dxa" w:w="3456"/>
            <w:vAlign w:val="center"/>
          </w:tcPr>
          <w:p>
            <w:r/>
            <w:r>
              <w:rPr>
                <w:rFonts w:ascii="Arial" w:hAnsi="Arial"/>
                <w:sz w:val="16"/>
              </w:rPr>
              <w:t>3. T-Finance audit note</w:t>
            </w:r>
          </w:p>
        </w:tc>
        <w:tc>
          <w:tcPr>
            <w:tcW w:type="dxa" w:w="3456"/>
            <w:vAlign w:val="center"/>
          </w:tcPr>
          <w:p>
            <w:r/>
            <w:r>
              <w:rPr>
                <w:rFonts w:ascii="Arial" w:hAnsi="Arial"/>
                <w:sz w:val="16"/>
              </w:rPr>
              <w:t>Corrected label count, split-hash result and affected model list.</w:t>
            </w:r>
          </w:p>
        </w:tc>
        <w:tc>
          <w:tcPr>
            <w:tcW w:type="dxa" w:w="3456"/>
            <w:vAlign w:val="center"/>
          </w:tcPr>
          <w:p>
            <w:r/>
            <w:r>
              <w:rPr>
                <w:rFonts w:ascii="Arial" w:hAnsi="Arial"/>
                <w:sz w:val="16"/>
              </w:rPr>
              <w:t>Lets Venus confirm the correction strategy before reruns.</w:t>
            </w:r>
          </w:p>
        </w:tc>
      </w:tr>
      <w:tr>
        <w:trPr>
          <w:cantSplit/>
        </w:trPr>
        <w:tc>
          <w:tcPr>
            <w:tcW w:type="dxa" w:w="3456"/>
            <w:vAlign w:val="center"/>
          </w:tcPr>
          <w:p>
            <w:r/>
            <w:r>
              <w:rPr>
                <w:rFonts w:ascii="Arial" w:hAnsi="Arial"/>
                <w:sz w:val="16"/>
              </w:rPr>
              <w:t>4. Canonicalisation summary</w:t>
            </w:r>
          </w:p>
        </w:tc>
        <w:tc>
          <w:tcPr>
            <w:tcW w:type="dxa" w:w="3456"/>
            <w:vAlign w:val="center"/>
          </w:tcPr>
          <w:p>
            <w:r/>
            <w:r>
              <w:rPr>
                <w:rFonts w:ascii="Arial" w:hAnsi="Arial"/>
                <w:sz w:val="16"/>
              </w:rPr>
              <w:t>Which * / † cells can be rerun canonically and which cannot without changing the method.</w:t>
            </w:r>
          </w:p>
        </w:tc>
        <w:tc>
          <w:tcPr>
            <w:tcW w:type="dxa" w:w="3456"/>
            <w:vAlign w:val="center"/>
          </w:tcPr>
          <w:p>
            <w:r/>
            <w:r>
              <w:rPr>
                <w:rFonts w:ascii="Arial" w:hAnsi="Arial"/>
                <w:sz w:val="16"/>
              </w:rPr>
              <w:t>Protects methodological integrity.</w:t>
            </w:r>
          </w:p>
        </w:tc>
      </w:tr>
      <w:tr>
        <w:trPr>
          <w:cantSplit/>
        </w:trPr>
        <w:tc>
          <w:tcPr>
            <w:tcW w:type="dxa" w:w="3456"/>
            <w:vAlign w:val="center"/>
          </w:tcPr>
          <w:p>
            <w:r/>
            <w:r>
              <w:rPr>
                <w:rFonts w:ascii="Arial" w:hAnsi="Arial"/>
                <w:sz w:val="16"/>
              </w:rPr>
              <w:t>5. Matched-cost specification</w:t>
            </w:r>
          </w:p>
        </w:tc>
        <w:tc>
          <w:tcPr>
            <w:tcW w:type="dxa" w:w="3456"/>
            <w:vAlign w:val="center"/>
          </w:tcPr>
          <w:p>
            <w:r/>
            <w:r>
              <w:rPr>
                <w:rFonts w:ascii="Arial" w:hAnsi="Arial"/>
                <w:sz w:val="16"/>
              </w:rPr>
              <w:t>One-page timing/memory boundary agreed before collecting new cost numbers.</w:t>
            </w:r>
          </w:p>
        </w:tc>
        <w:tc>
          <w:tcPr>
            <w:tcW w:type="dxa" w:w="3456"/>
            <w:vAlign w:val="center"/>
          </w:tcPr>
          <w:p>
            <w:r/>
            <w:r>
              <w:rPr>
                <w:rFonts w:ascii="Arial" w:hAnsi="Arial"/>
                <w:sz w:val="16"/>
              </w:rPr>
              <w:t>Prevents another mixed-timing table.</w:t>
            </w:r>
          </w:p>
        </w:tc>
      </w:tr>
      <w:tr>
        <w:trPr>
          <w:cantSplit/>
        </w:trPr>
        <w:tc>
          <w:tcPr>
            <w:tcW w:type="dxa" w:w="3456"/>
            <w:vAlign w:val="center"/>
          </w:tcPr>
          <w:p>
            <w:r/>
            <w:r>
              <w:rPr>
                <w:rFonts w:ascii="Arial" w:hAnsi="Arial"/>
                <w:sz w:val="16"/>
              </w:rPr>
              <w:t>6. Benchmark-v2 draft</w:t>
            </w:r>
          </w:p>
        </w:tc>
        <w:tc>
          <w:tcPr>
            <w:tcW w:type="dxa" w:w="3456"/>
            <w:vAlign w:val="center"/>
          </w:tcPr>
          <w:p>
            <w:r/>
            <w:r>
              <w:rPr>
                <w:rFonts w:ascii="Arial" w:hAnsi="Arial"/>
                <w:sz w:val="16"/>
              </w:rPr>
              <w:t>Updated core tables/figures only after closure gates pass.</w:t>
            </w:r>
          </w:p>
        </w:tc>
        <w:tc>
          <w:tcPr>
            <w:tcW w:type="dxa" w:w="3456"/>
            <w:vAlign w:val="center"/>
          </w:tcPr>
          <w:p>
            <w:r/>
            <w:r>
              <w:rPr>
                <w:rFonts w:ascii="Arial" w:hAnsi="Arial"/>
                <w:sz w:val="16"/>
              </w:rPr>
              <w:t>Provides the stable base for adding new models or a seventh dataset.</w:t>
            </w:r>
          </w:p>
        </w:tc>
      </w:tr>
    </w:tbl>
    <w:p/>
    <w:p>
      <w:pPr>
        <w:pStyle w:val="Heading1"/>
      </w:pPr>
      <w:r>
        <w:t>8. Go / no-go decision for expansion</w:t>
      </w:r>
    </w:p>
    <w:tbl>
      <w:tblPr>
        <w:tblStyle w:val="TableGrid"/>
        <w:tblW w:type="auto" w:w="0"/>
        <w:tblLook w:firstColumn="1" w:firstRow="1" w:lastColumn="0" w:lastRow="0" w:noHBand="0" w:noVBand="1" w:val="04A0"/>
      </w:tblPr>
      <w:tblGrid>
        <w:gridCol w:w="10368"/>
      </w:tblGrid>
      <w:tr>
        <w:tc>
          <w:tcPr>
            <w:tcW w:type="dxa" w:w="10368"/>
            <w:shd w:fill="F2F2F2"/>
          </w:tcPr>
          <w:p>
            <w:r>
              <w:rPr>
                <w:rFonts w:ascii="Arial" w:hAnsi="Arial"/>
                <w:b/>
                <w:sz w:val="19"/>
              </w:rPr>
              <w:t xml:space="preserve">GO condition: </w:t>
            </w:r>
            <w:r>
              <w:rPr>
                <w:rFonts w:ascii="Arial" w:hAnsi="Arial"/>
                <w:sz w:val="19"/>
              </w:rPr>
              <w:t>Begin new-model or seventh-dataset work only after the T-Finance audit is closed, every current * or † cell has either been canonicalised or formally retained as non-comparable, missing scarcity ladders are either complete or scheduled with clear scope, and the matched cost boundary has been fixed.</w:t>
            </w:r>
          </w:p>
        </w:tc>
      </w:tr>
    </w:tbl>
    <w:p/>
    <w:p>
      <w:r>
        <w:rPr>
          <w:b/>
        </w:rPr>
        <w:t xml:space="preserve">Why this matters for the final project. </w:t>
      </w:r>
      <w:r>
        <w:t>The strongest final contribution is not the largest possible number of runs. It is a benchmark where the reader can distinguish performance, robustness, structure and computational feasibility without wondering whether the apparent differences came from different splits, seeds or timing definitions. Once that base is closed, adding new models or a seventh dataset becomes scientifically additive rather than another source of uncertainty.</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