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BWGNN Benchmark Findings — Six-Dataset Controlled Study (Final, A6000)</w:t>
      </w:r>
    </w:p>
    <w:p>
      <w:pPr>
        <w:spacing w:after="110"/>
      </w:pPr>
      <w:r>
        <w:rPr>
          <w:rFonts w:ascii="Arial" w:cs="Arial" w:eastAsia="Arial" w:hAnsi="Arial"/>
          <w:i/>
          <w:iCs/>
          <w:color w:val="5F5E5A"/>
          <w:sz w:val="19"/>
          <w:szCs w:val="19"/>
        </w:rPr>
        <w:t xml:space="preserve">COMP8851 Graph Fraud Benchmark  |  RTX A6000 48GB  |  72/72 final runs, 6/6 datasets complete  |  15 September 2026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Scope. This report consolidates the executed BWGNN session evidence for YelpChi, Amazon, T-Finance, T-Social, FDCompCN, and Elliptic on the final controlled RTX A6000 hardware. All six datasets now report a complete unified performance grid (TR40/TR30/TR20/TR10 × seeds 2/42/72), including T-Social, whose earlier Tesla T4 compatibility record is retained as historical context rather than final evidence. Predictive performance is reported across seven metrics — AUPRC, AUROC, Macro-F1, fraud precision, fraud recall, fraud F1, and G-Mean — rather than a reduced subset.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Executive Findings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All six datasets produced complete unified performance grids on the RTX A6000. T-Social's earlier Tesla T4 record was a documented full-graph memory infeasibility, not a modelling failure; the same BWGNN architecture on the same unchanged full graph completed all 12 runs once sufficient VRAM was available, using the configuration selected by the normal validation-only tuning procedure (22,485 MB peak, within the A6000's 48GB budget).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Amazon is the strongest and most stable completed dataset for BWGNN in this study: TR40 AUPRC 0.8813 ± 0.0133, AUROC 0.9722 ± 0.0069, with high fraud precision (0.9367) alongside high recall (0.7764).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T-Finance and T-Social both show non-monotonic AUPRC across training ratios — T-Finance rises from 0.7052 (TR40) to 0.8610 (TR20) before easing slightly; T-Social peaks at TR20 (0.7458) rather than TR40. These should be reported as observed three-seed patterns, not evidence that less labelled data is intrinsically better.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YelpChi and Elliptic both show a clear, monotonic decline in AUPRC as labelled training data shrinks from TR40 to TR10, consistent with ordinary label-scarcity behaviour.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FDCompCN is computationally the lightest dataset by far but has the weakest detection effectiveness across every metric; TR40 AUPRC is 0.1575 ± 0.0045 and AUROC (0.5655) sits only marginally above chance. This result is provisional: the homogeneous graph used for these runs was built by combining all four stored relation keys, which duplicates the three semantic relations inside the pre-combined homo key rather than using the locked homogeneous view alone — see §7 for the exact figures and the recommended rerun.</w:t>
      </w:r>
    </w:p>
    <w:p>
      <w:pPr>
        <w:spacing w:after="60"/>
        <w:ind w:left="260"/>
      </w:pPr>
      <w:r>
        <w:rPr>
          <w:rFonts w:ascii="Arial" w:cs="Arial" w:eastAsia="Arial" w:hAnsi="Arial"/>
          <w:sz w:val="19"/>
          <w:szCs w:val="19"/>
        </w:rPr>
        <w:t xml:space="preserve">•  Fraud precision and fraud recall frequently move in different directions across ratios (for example, FDCompCN's precision rises from TR10 to TR30 while its recall falls) — reporting both, alongside fraud F1, avoids a one-sided reading of detection quality.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1. Dataset Scale, Labels, and Execution Status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800"/>
        <w:gridCol w:w="1550"/>
        <w:gridCol w:w="1700"/>
        <w:gridCol w:w="1000"/>
        <w:gridCol w:w="1750"/>
        <w:gridCol w:w="1050"/>
        <w:gridCol w:w="1900"/>
      </w:tblGrid>
      <w:tr>
        <w:trPr>
          <w:tblHeader/>
        </w:trPr>
        <w:tc>
          <w:tcPr>
            <w:tcW w:type="dxa" w:w="11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18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Task / domain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Nodes</w:t>
            </w:r>
          </w:p>
        </w:tc>
        <w:tc>
          <w:tcPr>
            <w:tcW w:type="dxa" w:w="17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Edges</w:t>
            </w:r>
          </w:p>
        </w:tc>
        <w:tc>
          <w:tcPr>
            <w:tcW w:type="dxa" w:w="10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Features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Fraud / normal</w:t>
            </w:r>
          </w:p>
        </w:tc>
        <w:tc>
          <w:tcPr>
            <w:tcW w:type="dxa" w:w="10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Fraud %</w:t>
            </w:r>
          </w:p>
        </w:tc>
        <w:tc>
          <w:tcPr>
            <w:tcW w:type="dxa" w:w="19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BWGNN outcome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Online review spam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45,954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3,846,979 logical
7,693,958 stored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32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6,677 / 39,277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14.53%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Native; unified complete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1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Product-review user fraud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11,944 total
8,639 supervised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4,398,392 logical
8,796,784 stored</w:t>
            </w:r>
          </w:p>
        </w:tc>
        <w:tc>
          <w:tcPr>
            <w:tcW w:type="dxa" w:w="1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25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821 / 7,818</w:t>
            </w:r>
          </w:p>
        </w:tc>
        <w:tc>
          <w:tcPr>
            <w:tcW w:type="dxa" w:w="10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9.50% of labelled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Native; unified complete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Financial account anomaly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39,357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21,222,543 ref.
42,445,086 stored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10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1,804 / 37,553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4.58%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Native; unified complete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1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Social-network anomalous accounts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5,781,065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73,105,508 ref.
146,211,016 stored</w:t>
            </w:r>
          </w:p>
        </w:tc>
        <w:tc>
          <w:tcPr>
            <w:tcW w:type="dxa" w:w="1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10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174,280 / 5,606,785</w:t>
            </w:r>
          </w:p>
        </w:tc>
        <w:tc>
          <w:tcPr>
            <w:tcW w:type="dxa" w:w="10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3.01%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Native; unified
complete (A6000)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Company fraud / risk network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5,317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30,752 source
36,069 with self-loops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57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559 / 4,758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10.51%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Input adapter; unified complete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1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Bitcoin illicit transaction detection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203,769 total
46,564 labelled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234,355 directed
438,124 with self-loops</w:t>
            </w:r>
          </w:p>
        </w:tc>
        <w:tc>
          <w:tcPr>
            <w:tcW w:type="dxa" w:w="1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166 model features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4,545 / 42,019</w:t>
            </w:r>
          </w:p>
        </w:tc>
        <w:tc>
          <w:tcPr>
            <w:tcW w:type="dxa" w:w="10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9.76% of labelled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Input adapter; chronological complete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Edge counts follow the established benchmark/reference convention where available; the exact stored/model-input edge convention is shown where it differs materially. For Amazon and Elliptic, fraud percentages are calculated over labelled/supervised nodes. Elliptic uses 166 model features in this final protocol (time step retained among the modelled fields, per the frozen GADBench-compatible representation).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2. Common Controlled Comparison Conditions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9000"/>
      </w:tblGrid>
      <w:tr>
        <w:trPr>
          <w:tblHeader/>
        </w:trPr>
        <w:tc>
          <w:tcPr>
            <w:tcW w:type="dxa" w:w="23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90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Fixed rule used in this BWGNN study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Experimental-mode separation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Author-code reproduction/validation and unified controlled results are kept separate. This report uses unified benchmark results only; modes are never mixed.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Official source identity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squareRoot3/Rethinking-Anomaly-Detection; frozen commit de0631f039bbd19c1890b483cc01f1007f596af7.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Controlled hardware (final)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NVIDIA RTX A6000 48GB, single GPU, for all 72 final runs across all six datasets.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Prior hardware (historical)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NVIDIA Tesla T4 16GB was used for earlier compatibility testing; T-Social could not complete a backward pass on this hardware. Retained as feasibility history, not as final performance evidence.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Static nested split design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 = 40% train / 20% fixed validation / 40% fixed test. TR30, TR20 and TR10 are nested subsets of TR40, leaving 10%, 20% and 30% unused respectively; validation and test IDs stay fixed.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 chronological design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Whole-time-step split: TR10 steps 1–3, TR20 1–7, TR30 1–12, TR40 1–20; validation 21–31; test 32–49. Later validation/test periods are never mixed into training.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Split seed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2; split IDs are frozen separately from training seeds.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Final training seeds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2, 42 and 72 for every completed unified ratio, on every dataset.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Equal tuning budget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Maximum 12 trials per dataset on TR40 with training seed 2; maximum 100 epochs and patience 20; the winning configuration is frozen for TR30/TR20/TR10.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Checkpoint selection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Best checkpoint selected by validation AUPRC only.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Decision threshold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Selected on validation scores by maximum Macro-F1; test metrics are produced only after model, checkpoint and threshold are frozen.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Test isolation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Test data is never used for hyperparameter, checkpoint or threshold selection.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Compatibility / architecture rule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Each dataset is classified before final runs as native, input-adapter eligible, conditional, or infeasible. BWGNN's architecture and fraud-specific mechanism are never redesigned to force a result.</w:t>
            </w:r>
          </w:p>
        </w:tc>
      </w:tr>
      <w:tr>
        <w:trPr>
          <w:cantSplit/>
        </w:trPr>
        <w:tc>
          <w:tcPr>
            <w:tcW w:type="dxa" w:w="23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Reported metrics</w:t>
            </w:r>
          </w:p>
        </w:tc>
        <w:tc>
          <w:tcPr>
            <w:tcW w:type="dxa" w:w="90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AUPRC, AUROC, Macro-F1, fraud precision, fraud recall, fraud F1 and G-Mean are reported for every completed dataset and ratio.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Efficiency evidence</w:t>
            </w:r>
          </w:p>
        </w:tc>
        <w:tc>
          <w:tcPr>
            <w:tcW w:type="dxa" w:w="90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Per-epoch training time, total training-only time, inference latency and peak GPU memory are recorded separately from predictive accuracy.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These controls follow the project's frozen execution plan: shared split/evaluator/hardware/seed/timing/tuning rules are fixed, while model integrity is preserved and unsupported model–dataset pairs are never forced. Exact protocol values are team-selected experimental design choices.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3. Frozen BWGNN Configuration by Dataset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600"/>
        <w:gridCol w:w="1150"/>
        <w:gridCol w:w="1150"/>
        <w:gridCol w:w="1750"/>
        <w:gridCol w:w="3350"/>
      </w:tblGrid>
      <w:tr>
        <w:trPr>
          <w:tblHeader/>
        </w:trPr>
        <w:tc>
          <w:tcPr>
            <w:tcW w:type="dxa" w:w="14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26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Compatibility / execution</w:t>
            </w:r>
          </w:p>
        </w:tc>
        <w:tc>
          <w:tcPr>
            <w:tcW w:type="dxa" w:w="11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Hidden</w:t>
            </w:r>
          </w:p>
        </w:tc>
        <w:tc>
          <w:tcPr>
            <w:tcW w:type="dxa" w:w="11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Order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Learning rate</w:t>
            </w:r>
          </w:p>
        </w:tc>
        <w:tc>
          <w:tcPr>
            <w:tcW w:type="dxa" w:w="33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Frozen treatment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 → homogeneous execution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64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0.005</w:t>
            </w:r>
          </w:p>
        </w:tc>
        <w:tc>
          <w:tcPr>
            <w:tcW w:type="dxa" w:w="33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Frozen configuration carried forward from the study's equal-budget tuning; reused unchanged for all final ratios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2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 → homogeneous execution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32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0.010</w:t>
            </w:r>
          </w:p>
        </w:tc>
        <w:tc>
          <w:tcPr>
            <w:tcW w:type="dxa" w:w="33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Frozen configuration carried forward from the study's equal-budget tuning; reused unchanged for all final ratios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 homogeneous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64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0.005</w:t>
            </w:r>
          </w:p>
        </w:tc>
        <w:tc>
          <w:tcPr>
            <w:tcW w:type="dxa" w:w="33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Frozen configuration carried forward from the study's equal-budget tuning; reused unchanged for all final ratios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2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Native homogeneous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64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0.005</w:t>
            </w:r>
          </w:p>
        </w:tc>
        <w:tc>
          <w:tcPr>
            <w:tcW w:type="dxa" w:w="33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Resolved on A6000: full-graph training completed under the same tuning process used for every other dataset; superseded the earlier T4 compatibility-only attempts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Input adapter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64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0.010</w:t>
            </w:r>
          </w:p>
        </w:tc>
        <w:tc>
          <w:tcPr>
            <w:tcW w:type="dxa" w:w="33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Frozen configuration carried forward from the study's equal-budget tuning; representation adapter noted in §7 requires review before this dataset is treated as final (see §7 and §11 Report Status)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2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Input adapter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128</w:t>
            </w:r>
          </w:p>
        </w:tc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0.005</w:t>
            </w:r>
          </w:p>
        </w:tc>
        <w:tc>
          <w:tcPr>
            <w:tcW w:type="dxa" w:w="33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Newly tuned on this A6000 run (12-trial TR40 validation-AUPRC) because the final 166-feature representation changed the model input; directed edges preserved, unknown nodes retained for message passing, chronology preserved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Different datasets can legitimately have different winning hyperparameters because fairness comes from an equal tuning budget and validation-only selection, not from forcing one parameter set onto graphs with very different scale, features and structure.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4. Core Test Performance Across Training-Label Availability — All Metrics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50"/>
        <w:gridCol w:w="1550"/>
        <w:gridCol w:w="1550"/>
        <w:gridCol w:w="1550"/>
        <w:gridCol w:w="1650"/>
        <w:gridCol w:w="1550"/>
        <w:gridCol w:w="1500"/>
        <w:gridCol w:w="1550"/>
      </w:tblGrid>
      <w:tr>
        <w:trPr>
          <w:tblHeader/>
        </w:trPr>
        <w:tc>
          <w:tcPr>
            <w:tcW w:type="dxa" w:w="11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9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Split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AUPRC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AUROC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Macro-F1</w:t>
            </w:r>
          </w:p>
        </w:tc>
        <w:tc>
          <w:tcPr>
            <w:tcW w:type="dxa" w:w="16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Fraud precision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Fraud recall</w:t>
            </w:r>
          </w:p>
        </w:tc>
        <w:tc>
          <w:tcPr>
            <w:tcW w:type="dxa" w:w="15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Fraud F1</w:t>
            </w:r>
          </w:p>
        </w:tc>
        <w:tc>
          <w:tcPr>
            <w:tcW w:type="dxa" w:w="15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G-Mean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0.5367±0.0184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0.8374±0.0074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0.7088±0.0077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0.4958±0.0256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0.5132±0.0119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0.5039±0.0105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0.6836±0.0056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0.5059±0.0022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0.8240±0.0014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0.6958±0.0030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0.4742±0.0326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0.4949±0.0438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0.4823±0.0054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0.6687±0.0222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0.4725±0.0067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0.8098±0.0027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0.6873±0.0025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0.4530±0.0088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0.4857±0.0074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0.4687±0.0033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0.6612±0.0037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0.4148±0.0139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0.7806±0.0085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0.6637±0.0023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0.3958±0.0051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0.4876±0.0291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0.4365±0.0083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0.6523±0.0154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0.8813±0.0133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0.9722±0.0069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0.9172±0.0022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0.9367±0.0154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0.7764±0.0173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0.8488±0.0042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0.8787±0.0091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0.8703±0.0138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0.9635±0.0105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0.9160±0.0011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0.9395±0.0135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0.7703±0.0093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0.8465±0.0019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0.8754±0.0048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0.8733±0.0036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0.9635±0.0037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0.9165±0.0037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0.9416±0.0052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0.7703±0.0115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0.8474±0.0069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0.8755±0.0065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0.8510±0.0111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0.9479±0.0103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0.9124±0.0032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0.9148±0.0269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0.7774±0.0106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0.8403±0.0055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0.8783±0.0047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0.7052±0.1342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0.9259±0.0355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0.8262±0.0590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0.7478±0.1590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0.6117±0.1110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0.6671±0.1125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0.7758±0.0705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0.8018±0.0950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0.9496±0.0241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0.8687±0.0402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0.8126±0.0985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0.6953±0.0688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0.7487±0.0769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0.8299±0.0427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0.8610±0.0117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0.9658±0.0002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0.8975±0.0100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0.8503±0.0224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0.7641±0.0484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0.8039±0.0196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0.8710±0.0272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0.8558±0.0155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0.9633±0.0013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0.8945±0.0130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0.8183±0.0586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0.7816±0.0184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0.7986±0.0245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0.8803±0.0096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0.7139±0.0588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0.9558±0.0081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0.8439±0.0223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0.7372±0.0533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0.6606±0.0360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0.6967±0.0432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0.8096±0.0228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0.7290±0.0215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0.9572±0.0043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0.8497±0.0051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0.7573±0.0125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0.6647±0.0095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0.7080±0.0100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0.8126±0.0059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0.7458±0.0176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0.9588±0.0026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0.8585±0.0054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0.7689±0.0133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0.6861±0.0100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0.7251±0.0105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0.8256±0.0061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0.6768±0.0792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0.9496±0.0119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0.8287±0.0261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0.7033±0.0556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0.6347±0.0471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0.6672±0.0507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0.7930±0.0300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0.1575±0.0045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0.5655±0.0031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0.5412±0.0064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0.2750±0.0368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0.1042±0.0180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0.1494±0.0155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0.3164±0.0262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0.1491±0.0030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0.5655±0.0032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0.5205±0.0038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0.3292±0.0276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0.0595±0.0052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0.1007±0.0077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0.2421±0.0105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0.1423±0.0020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0.5718±0.0027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0.5247±0.0123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0.2387±0.0537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0.0848±0.0397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0.1185±0.0345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0.2805±0.0613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0.1315±0.0025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0.5368±0.0022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0.4991±0.0033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0.1090±0.0032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0.1562±0.0464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0.1264±0.0187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0.3604±0.0489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0.4438±0.0372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0.8670±0.0055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0.7213±0.0379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0.4074±0.0929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0.6884±0.0579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0.5042±0.0559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0.7895±0.0157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0.4013±0.0452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0.8601±0.0032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0.6571±0.0521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0.2976±0.0833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0.7369±0.0862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0.4149±0.0650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0.7828±0.0175</w:t>
            </w:r>
          </w:p>
        </w:tc>
      </w:tr>
      <w:tr>
        <w:trPr>
          <w:cantSplit/>
        </w:trPr>
        <w:tc>
          <w:tcPr>
            <w:tcW w:type="dxa" w:w="11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0.2505±0.0329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0.8196±0.0131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0.4983±0.0596</w:t>
            </w:r>
          </w:p>
        </w:tc>
        <w:tc>
          <w:tcPr>
            <w:tcW w:type="dxa" w:w="16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0.1555±0.0307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0.8469±0.0568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0.2611±0.0397</w:t>
            </w:r>
          </w:p>
        </w:tc>
        <w:tc>
          <w:tcPr>
            <w:tcW w:type="dxa" w:w="15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0.7057±0.0378</w:t>
            </w:r>
          </w:p>
        </w:tc>
      </w:tr>
      <w:tr>
        <w:trPr>
          <w:cantSplit/>
        </w:trPr>
        <w:tc>
          <w:tcPr>
            <w:tcW w:type="dxa" w:w="11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9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0.2343±0.0355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0.7885±0.0115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0.5427±0.0787</w:t>
            </w:r>
          </w:p>
        </w:tc>
        <w:tc>
          <w:tcPr>
            <w:tcW w:type="dxa" w:w="16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0.3409±0.2840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0.1208±0.1748</w:t>
            </w:r>
          </w:p>
        </w:tc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0.1327±0.1661</w:t>
            </w:r>
          </w:p>
        </w:tc>
        <w:tc>
          <w:tcPr>
            <w:tcW w:type="dxa" w:w="15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0.2703±0.2494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Values are mean ± sample standard deviation over training seeds 2, 42 and 72 (n−1 convention). Higher is better throughout. AUPRC is the primary minority-class ranking metric; AUROC measures overall ranking separation; Macro-F1 weights both classes equally; fraud precision/recall/F1 describe minority-class detection quality directly; G-Mean balances sensitivity and specificity. No single column should be read in isolation — a high recall with low precision (e.g. Elliptic TR20: recall 0.847, precision 0.155) signals a very different behaviour than a balanced result (e.g. Amazon TR40: precision 0.937, recall 0.776).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5. Cross-Dataset AUPRC View</w:t>
      </w:r>
    </w:p>
    <w:tbl>
      <w:tblPr>
        <w:tblW w:type="dxa" w:w="11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0"/>
        <w:gridCol w:w="1750"/>
        <w:gridCol w:w="175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13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Train subset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YelpChi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Amazon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T-Finance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T-Social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FDCompCN</w:t>
            </w:r>
          </w:p>
        </w:tc>
        <w:tc>
          <w:tcPr>
            <w:tcW w:type="dxa" w:w="175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Elliptic</w:t>
            </w:r>
          </w:p>
        </w:tc>
      </w:tr>
      <w:tr>
        <w:trPr>
          <w:cantSplit/>
        </w:trPr>
        <w:tc>
          <w:tcPr>
            <w:tcW w:type="dxa" w:w="13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TR40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0.5367±0.0184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0.8813±0.0133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0.7052±0.1342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0.7139±0.0588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0.1575±0.0045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0.4438±0.0372</w:t>
            </w:r>
          </w:p>
        </w:tc>
      </w:tr>
      <w:tr>
        <w:trPr>
          <w:cantSplit/>
        </w:trPr>
        <w:tc>
          <w:tcPr>
            <w:tcW w:type="dxa" w:w="13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TR30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0.5059±0.0022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0.8703±0.0138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0.8018±0.0950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0.7290±0.0215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0.1491±0.0030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0.4013±0.0452</w:t>
            </w:r>
          </w:p>
        </w:tc>
      </w:tr>
      <w:tr>
        <w:trPr>
          <w:cantSplit/>
        </w:trPr>
        <w:tc>
          <w:tcPr>
            <w:tcW w:type="dxa" w:w="13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TR20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0.4725±0.0067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0.8733±0.0036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0.8610±0.0117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0.7458±0.0176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0.1423±0.0020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0.2505±0.0329</w:t>
            </w:r>
          </w:p>
        </w:tc>
      </w:tr>
      <w:tr>
        <w:trPr>
          <w:cantSplit/>
        </w:trPr>
        <w:tc>
          <w:tcPr>
            <w:tcW w:type="dxa" w:w="13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TR10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0.4148±0.0139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0.8510±0.0111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0.8558±0.0155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0.6768±0.0792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0.1315±0.0025</w:t>
            </w:r>
          </w:p>
        </w:tc>
        <w:tc>
          <w:tcPr>
            <w:tcW w:type="dxa" w:w="175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0.2343±0.0355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This table gives the fastest cross-dataset view of label efficiency for the same model. Amazon remains high across all ratios; YelpChi declines steadily; T-Finance and T-Social are both strong but non-monotonic; FDCompCN remains low throughout; Elliptic declines sharply below TR30. All six datasets now report real values — T-Social's earlier placeholder is replaced with its measured A6000 result.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6. Computational Efficiency at TR40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200"/>
        <w:gridCol w:w="2200"/>
        <w:gridCol w:w="2400"/>
        <w:gridCol w:w="2200"/>
        <w:gridCol w:w="2500"/>
      </w:tblGrid>
      <w:tr>
        <w:trPr>
          <w:tblHeader/>
        </w:trPr>
        <w:tc>
          <w:tcPr>
            <w:tcW w:type="dxa" w:w="14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22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Mean train / epoch</w:t>
            </w:r>
          </w:p>
        </w:tc>
        <w:tc>
          <w:tcPr>
            <w:tcW w:type="dxa" w:w="22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Total train</w:t>
            </w:r>
          </w:p>
        </w:tc>
        <w:tc>
          <w:tcPr>
            <w:tcW w:type="dxa" w:w="24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Inference latency</w:t>
            </w:r>
          </w:p>
        </w:tc>
        <w:tc>
          <w:tcPr>
            <w:tcW w:type="dxa" w:w="22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Peak GPU memory</w:t>
            </w:r>
          </w:p>
        </w:tc>
        <w:tc>
          <w:tcPr>
            <w:tcW w:type="dxa" w:w="25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Evidence note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0.0355±0.0001 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3.546±0.006 s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17.293±0.115 ms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524.28±0.20 MB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0.0145±0.0000 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1.101±0.320 s</w:t>
            </w:r>
          </w:p>
        </w:tc>
        <w:tc>
          <w:tcPr>
            <w:tcW w:type="dxa" w:w="2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7.226±0.016 ms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461.93±0.05 MB</w:t>
            </w:r>
          </w:p>
        </w:tc>
        <w:tc>
          <w:tcPr>
            <w:tcW w:type="dxa" w:w="2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0.1458±0.0007 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6.645±4.171 s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72.583±0.735 ms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2069.55±0.17 MB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1.5976±0.0014 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159.759±0.140 s</w:t>
            </w:r>
          </w:p>
        </w:tc>
        <w:tc>
          <w:tcPr>
            <w:tcW w:type="dxa" w:w="2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710.195±0.377 ms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22484.85±26.03 MB</w:t>
            </w:r>
          </w:p>
        </w:tc>
        <w:tc>
          <w:tcPr>
            <w:tcW w:type="dxa" w:w="2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 — resolves earlier T4 infeasibility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0.0059±0.0002 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0.302±0.025 s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2.265±0.092 ms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15.08±0.02 MB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0.0491±0.0000 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4.057±0.465 s</w:t>
            </w:r>
          </w:p>
        </w:tc>
        <w:tc>
          <w:tcPr>
            <w:tcW w:type="dxa" w:w="2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21.980±0.008 ms</w:t>
            </w:r>
          </w:p>
        </w:tc>
        <w:tc>
          <w:tcPr>
            <w:tcW w:type="dxa" w:w="22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1262.47±0.90 MB</w:t>
            </w:r>
          </w:p>
        </w:tc>
        <w:tc>
          <w:tcPr>
            <w:tcW w:type="dxa" w:w="2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Primary A6000 final run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All efficiency values were measured on the controlled RTX A6000 for the final report. T-Social's per-epoch cost (1.60s) is roughly 45× YelpChi's (0.036s) on identical hardware — driven by graph scale (5.78M nodes vs 45,954), not by any predictive-quality difference between the two datasets.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7. Dataset-Specific Validity Challenges and Controlled Treatment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400"/>
        <w:gridCol w:w="3600"/>
        <w:gridCol w:w="2900"/>
      </w:tblGrid>
      <w:tr>
        <w:trPr>
          <w:tblHeader/>
        </w:trPr>
        <w:tc>
          <w:tcPr>
            <w:tcW w:type="dxa" w:w="15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34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Challenge</w:t>
            </w:r>
          </w:p>
        </w:tc>
        <w:tc>
          <w:tcPr>
            <w:tcW w:type="dxa" w:w="36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Controlled treatment</w:t>
            </w:r>
          </w:p>
        </w:tc>
        <w:tc>
          <w:tcPr>
            <w:tcW w:type="dxa" w:w="29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Effect on interpretation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 / Amazon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Multi-relational source graphs; BWGNN's final benchmark uses the homogeneous BWGNN path.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All source relations were combined for homogeneous execution with self-loops. Frozen final configurations were evaluated with the shared split/seed protocol.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Comparable within this BWGNN study; edge-count conventions should not be equated with other benchmarks' deduplicated reference counts.</w:t>
            </w:r>
          </w:p>
        </w:tc>
      </w:tr>
      <w:tr>
        <w:trPr>
          <w:cantSplit/>
        </w:trPr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3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First 3,305 graph nodes are not eligible for the CARE-GNN-style supervised label protocol.</w:t>
            </w:r>
          </w:p>
        </w:tc>
        <w:tc>
          <w:tcPr>
            <w:tcW w:type="dxa" w:w="3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Unified splits were rebuilt over 8,639 labelled nodes only: 7,818 normal and 821 fraud.</w:t>
            </w:r>
          </w:p>
        </w:tc>
        <w:tc>
          <w:tcPr>
            <w:tcW w:type="dxa" w:w="2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Prevents unlabelled nodes from entering supervised train/validation/test metrics.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Canonical DGL file stores labels as two-column one-hot values; direct row inspection confirms 37,553 normal / 1,804 fraud.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Labels were audited by row pattern and decoded with argmax without changing the source data.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Results describe the exact canonical file used in the experiment; supersedes any earlier 1,803-count reference.</w:t>
            </w:r>
          </w:p>
        </w:tc>
      </w:tr>
      <w:tr>
        <w:trPr>
          <w:cantSplit/>
        </w:trPr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3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graph has 5,781,065 nodes and 146,211,016 stored edge entries; exceeded ~15GB memory on the earlier controlled Tesla T4 at every tested configuration (order 2).</w:t>
            </w:r>
          </w:p>
        </w:tc>
        <w:tc>
          <w:tcPr>
            <w:tcW w:type="dxa" w:w="3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On the A6000 (48GB), the same BWGNN architecture and the same unchanged full canonical graph completed the full-graph path without sampling or graph reduction, using the configuration selected by the normal validation-only tuning procedure (hidden 64, order 3, lr 0.005) and 22,485 MB peak memory.</w:t>
            </w:r>
          </w:p>
        </w:tc>
        <w:tc>
          <w:tcPr>
            <w:tcW w:type="dxa" w:w="2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The T4 result identifies a hardware-feasibility ceiling for full-graph BWGNN on T-Social; it is not evidence of poor predictive accuracy. Both results are retained, with the A6000 run as the authoritative final evidence.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Official BWGNN repository has no native FDCompCN configuration. The stored DGL file has four graph keys; only three (investment, customer, supplier) are independent semantic relations — the fourth (homo) is already a pre-combined view of those same three, not a fourth relation.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UNRESOLVED: the runner used for these results built the homogeneous input from all four stored keys together (10,059 + 8,505 + 5,944 + 6,244 = 30,752 entries), which folds the three semantic relations in twice — once directly and once again inside the pre-combined homo key — rather than using the frozen homogeneous view alone (10,059 stored entries; 3,634 logical union edges). Architecture, features and labels were otherwise preserved.</w:t>
            </w:r>
          </w:p>
        </w:tc>
        <w:tc>
          <w:tcPr>
            <w:tcW w:type="dxa" w:w="2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The FDCompCN results in this report were produced on this duplicated representation and should be treated as provisional. A rerun using the locked homogeneous view only, before this dataset is called final, is recommended.</w:t>
            </w:r>
          </w:p>
        </w:tc>
      </w:tr>
      <w:tr>
        <w:trPr>
          <w:cantSplit/>
        </w:trPr>
        <w:tc>
          <w:tcPr>
            <w:tcW w:type="dxa" w:w="15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3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203,769 transactions, 49 time steps, 157,205 unknown labels, and directed payment-flow edges require leakage-safe handling.</w:t>
            </w:r>
          </w:p>
        </w:tc>
        <w:tc>
          <w:tcPr>
            <w:tcW w:type="dxa" w:w="36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The 166-feature representation was used; time step remained one of the 166 model inputs and also defined the chronological split; unknown nodes stayed in the graph but were never supervised; validation/test remained later in time than training.</w:t>
            </w:r>
          </w:p>
        </w:tc>
        <w:tc>
          <w:tcPr>
            <w:tcW w:type="dxa" w:w="2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Preserves the temporal task and avoids random-split leakage or supervision from unknown labels.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This table prevents hidden preprocessing differences — or hidden hardware differences — from being mistaken for model performance differences. T-Social's row is the clearest case: the challenge was resolved by hardware, not by changing the model or the graph.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8. Evidence Completeness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800"/>
        <w:gridCol w:w="1700"/>
        <w:gridCol w:w="2700"/>
        <w:gridCol w:w="1900"/>
        <w:gridCol w:w="1700"/>
      </w:tblGrid>
      <w:tr>
        <w:trPr>
          <w:tblHeader/>
        </w:trPr>
        <w:tc>
          <w:tcPr>
            <w:tcW w:type="dxa" w:w="14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Dataset</w:t>
            </w:r>
          </w:p>
        </w:tc>
        <w:tc>
          <w:tcPr>
            <w:tcW w:type="dxa" w:w="28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Completed runs</w:t>
            </w:r>
          </w:p>
        </w:tc>
        <w:tc>
          <w:tcPr>
            <w:tcW w:type="dxa" w:w="17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Raw timing</w:t>
            </w:r>
          </w:p>
        </w:tc>
        <w:tc>
          <w:tcPr>
            <w:tcW w:type="dxa" w:w="27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Authoritative evidence</w:t>
            </w:r>
          </w:p>
        </w:tc>
        <w:tc>
          <w:tcPr>
            <w:tcW w:type="dxa" w:w="19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Test used for selection?</w:t>
            </w:r>
          </w:p>
        </w:tc>
        <w:tc>
          <w:tcPr>
            <w:tcW w:type="dxa" w:w="1700"/>
            <w:shd w:fill="7A1F3D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Final status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YelpChi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primary final evidence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Amazon</w:t>
            </w:r>
          </w:p>
        </w:tc>
        <w:tc>
          <w:tcPr>
            <w:tcW w:type="dxa" w:w="2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primary final evidence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T-Finance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primary final evidence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T-Social</w:t>
            </w:r>
          </w:p>
        </w:tc>
        <w:tc>
          <w:tcPr>
            <w:tcW w:type="dxa" w:w="2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primary final evidence (supersedes T4 infeasibility record)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14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FDCompCN</w:t>
            </w:r>
          </w:p>
        </w:tc>
        <w:tc>
          <w:tcPr>
            <w:tcW w:type="dxa" w:w="28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evidence — duplicated representation (see §7)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FFFFF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Provisional — rerun recommended</w:t>
            </w:r>
          </w:p>
        </w:tc>
      </w:tr>
      <w:tr>
        <w:trPr>
          <w:cantSplit/>
        </w:trPr>
        <w:tc>
          <w:tcPr>
            <w:tcW w:type="dxa" w:w="14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02020"/>
                <w:sz w:val="15"/>
                <w:szCs w:val="15"/>
              </w:rPr>
              <w:t xml:space="preserve">Elliptic</w:t>
            </w:r>
          </w:p>
        </w:tc>
        <w:tc>
          <w:tcPr>
            <w:tcW w:type="dxa" w:w="28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12 final runs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Full timing retained</w:t>
            </w:r>
          </w:p>
        </w:tc>
        <w:tc>
          <w:tcPr>
            <w:tcW w:type="dxa" w:w="2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A6000 primary final evidence</w:t>
            </w:r>
          </w:p>
        </w:tc>
        <w:tc>
          <w:tcPr>
            <w:tcW w:type="dxa" w:w="19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No</w:t>
            </w:r>
          </w:p>
        </w:tc>
        <w:tc>
          <w:tcPr>
            <w:tcW w:type="dxa" w:w="1700"/>
            <w:shd w:fill="F5F0F0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02020"/>
                <w:sz w:val="15"/>
                <w:szCs w:val="15"/>
              </w:rPr>
              <w:t xml:space="preserve">Complete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Every dataset now carries a complete 4-ratio × 3-seed grid on the final controlled hardware. T-Social's prior compatibility-only record remains part of the project's audit trail but is superseded here as the performance-comparison source.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9. What Each Table Means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1. </w:t>
      </w:r>
      <w:r>
        <w:rPr>
          <w:rFonts w:ascii="Arial" w:cs="Arial" w:eastAsia="Arial" w:hAnsi="Arial"/>
          <w:sz w:val="19"/>
          <w:szCs w:val="19"/>
        </w:rPr>
        <w:t xml:space="preserve"> Dataset and Task/domain identify the graph and fraud setting. Nodes, Edges and Features show the scale of graph structure and input information BWGNN must process. Fraud/normal and Fraud% show class imbalance, central to interpreting AUPRC and recall. BWGNN outcome distinguishes a native run, an input-adapter run, or a hardware-resolved run.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2. </w:t>
      </w:r>
      <w:r>
        <w:rPr>
          <w:rFonts w:ascii="Arial" w:cs="Arial" w:eastAsia="Arial" w:hAnsi="Arial"/>
          <w:sz w:val="19"/>
          <w:szCs w:val="19"/>
        </w:rPr>
        <w:t xml:space="preserve"> The main fairness and reproducibility record: source commit, hardware (final and historical), split design, seeds, tuning budget, checkpoint/threshold rules, test isolation, and the full metric set reported.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3. </w:t>
      </w:r>
      <w:r>
        <w:rPr>
          <w:rFonts w:ascii="Arial" w:cs="Arial" w:eastAsia="Arial" w:hAnsi="Arial"/>
          <w:sz w:val="19"/>
          <w:szCs w:val="19"/>
        </w:rPr>
        <w:t xml:space="preserve"> Hidden is embedding width, Order is the beta-wavelet order, Learning rate is the optimizer step size. Different winning values across datasets reflect independent tuning under one equal budget, not inconsistent treatment.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4. </w:t>
      </w:r>
      <w:r>
        <w:rPr>
          <w:rFonts w:ascii="Arial" w:cs="Arial" w:eastAsia="Arial" w:hAnsi="Arial"/>
          <w:sz w:val="19"/>
          <w:szCs w:val="19"/>
        </w:rPr>
        <w:t xml:space="preserve"> The full seven-metric performance record across all four training ratios. This is the primary evidence table for both effectiveness and label-scarcity behaviour — the standard deviation matters as much as the mean, since a high mean with large variation is weaker evidence than a similar mean with low variation.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5. </w:t>
      </w:r>
      <w:r>
        <w:rPr>
          <w:rFonts w:ascii="Arial" w:cs="Arial" w:eastAsia="Arial" w:hAnsi="Arial"/>
          <w:sz w:val="19"/>
          <w:szCs w:val="19"/>
        </w:rPr>
        <w:t xml:space="preserve"> A compact, single-metric (AUPRC) view across all six datasets and four ratios, for fast pattern comparison. Not intended to rank datasets against each other, since base rates and structure differ.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6. </w:t>
      </w:r>
      <w:r>
        <w:rPr>
          <w:rFonts w:ascii="Arial" w:cs="Arial" w:eastAsia="Arial" w:hAnsi="Arial"/>
          <w:sz w:val="19"/>
          <w:szCs w:val="19"/>
        </w:rPr>
        <w:t xml:space="preserve"> Separates cost and feasibility from predictive effectiveness. Mean train/epoch and Total train describe training-only cost; Inference latency is post-training prediction time; Peak GPU memory captures accelerator demand.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7. </w:t>
      </w:r>
      <w:r>
        <w:rPr>
          <w:rFonts w:ascii="Arial" w:cs="Arial" w:eastAsia="Arial" w:hAnsi="Arial"/>
          <w:sz w:val="19"/>
          <w:szCs w:val="19"/>
        </w:rPr>
        <w:t xml:space="preserve"> States the concrete source of risk per dataset, the action taken without redesigning BWGNN, and the resulting boundary on what can be claimed from the result.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8. </w:t>
      </w:r>
      <w:r>
        <w:rPr>
          <w:rFonts w:ascii="Arial" w:cs="Arial" w:eastAsia="Arial" w:hAnsi="Arial"/>
          <w:sz w:val="19"/>
          <w:szCs w:val="19"/>
        </w:rPr>
        <w:t xml:space="preserve"> The audit trail connecting summary numbers to frozen configuration, run records, and evidence packaging — confirming every dataset's result is traceable and complete.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10. Selected Design Questions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A short set of design questions this benchmark is built to answer, kept to points directly supported by the results above.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doesn't “same experimental configuration” mean giving every model the same learning rate or hidden dimension? </w:t>
      </w:r>
      <w:r>
        <w:rPr>
          <w:rFonts w:ascii="Arial" w:cs="Arial" w:eastAsia="Arial" w:hAnsi="Arial"/>
          <w:sz w:val="19"/>
          <w:szCs w:val="19"/>
        </w:rPr>
        <w:t xml:space="preserve"> No — identical rules (data, splits, evaluation, hardware, selection discipline) is the fairness standard, not identical hyperparameters. Architectures have different native requirements; forcing one setting onto all of them would handicap some models by design rather than compare them fairly.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use AUPRC as the primary comparison metric instead of AUROC? </w:t>
      </w:r>
      <w:r>
        <w:rPr>
          <w:rFonts w:ascii="Arial" w:cs="Arial" w:eastAsia="Arial" w:hAnsi="Arial"/>
          <w:sz w:val="19"/>
          <w:szCs w:val="19"/>
        </w:rPr>
        <w:t xml:space="preserve"> AUROC can remain high even when the negative (normal) class dominates the ranking; it does not directly measure whether the model's highest-ranked predictions are genuinely fraud. AUPRC is more sensitive to exactly that failure mode, which matters more when fraud is 3–15% of the data, as it is across all six datasets here.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report fraud precision, fraud recall, and fraud F1 together rather than just one of them? </w:t>
      </w:r>
      <w:r>
        <w:rPr>
          <w:rFonts w:ascii="Arial" w:cs="Arial" w:eastAsia="Arial" w:hAnsi="Arial"/>
          <w:sz w:val="19"/>
          <w:szCs w:val="19"/>
        </w:rPr>
        <w:t xml:space="preserve"> Because precision and recall alone can each tell a misleadingly one-sided story — high recall with very low precision (Elliptic TR20: 0.847 recall, 0.155 precision) is not the same finding as a balanced result, and only reporting one of the two would hide that difference.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is T-Social's earlier infeasibility result not the same as a poor accuracy result? </w:t>
      </w:r>
      <w:r>
        <w:rPr>
          <w:rFonts w:ascii="Arial" w:cs="Arial" w:eastAsia="Arial" w:hAnsi="Arial"/>
          <w:sz w:val="19"/>
          <w:szCs w:val="19"/>
        </w:rPr>
        <w:t xml:space="preserve"> An OOM result means no prediction was produced at all — it is a feasibility outcome, not an accuracy outcome. §7 shows the same architecture on the same unchanged graph completing cleanly once sufficient memory was available, confirming the earlier limit was a hardware-feasibility ceiling, not a property of the method or dataset.</w:t>
      </w:r>
    </w:p>
    <w:p>
      <w:pPr>
        <w:spacing w:after="9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keep a weak result like FDCompCN's in the comparison rather than treating it as a failed run? </w:t>
      </w:r>
      <w:r>
        <w:rPr>
          <w:rFonts w:ascii="Arial" w:cs="Arial" w:eastAsia="Arial" w:hAnsi="Arial"/>
          <w:sz w:val="19"/>
          <w:szCs w:val="19"/>
        </w:rPr>
        <w:t xml:space="preserve"> A correctly completed run that performs weakly still needs its input representation checked before the result is trusted. FDCompCN's current runs are flagged provisional for exactly this reason (§7): the graph used was built from a duplicated representation, not the locked homogeneous view. Once rerun on the corrected view, a weak result would still be kept and reported — excluding it would hide a real limitation rather than reveal one — but the current numbers should not yet be read as that clean a finding.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11. Report Status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Five of six datasets (YelpChi, Amazon, T-Finance, T-Social, Elliptic) are final on this A6000 evidence. FDCompCN is not yet final: its reported numbers were produced on a duplicated homogeneous representation (§7) and should be treated as provisional pending a rerun on the locked homogeneous view alone. This report is issued as a complete evidence record with that one open item stated explicitly, not as a fully closed-out final result for all six datasets.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A1F3D"/>
          <w:sz w:val="24"/>
          <w:szCs w:val="24"/>
        </w:rPr>
        <w:t xml:space="preserve">12. Evidence Basis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Experiment execution record: consolidated final-run summary and per-run archives for all six datasets, each independently checksummed.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Archive SHA256 (short): YelpChi f68ec3e4...; Amazon 7a8f5643...; T-Finance b6cd72af...; FDCompCN edbe95cb...; Elliptic 45c11142...; T-Social fba93eca...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Consolidated evidence bundle SHA256: a18e222fb15e9a4327176378e78cb09fec0432319c6fd1800c44b858f5161df5</w:t>
      </w:r>
    </w:p>
    <w:p>
      <w:pPr>
        <w:spacing w:after="13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Full per-run configuration, per-epoch timing logs, and script-level hashes are retained in the evidence bundle. The isolated author-environment package versions and source commit used for the earlier Tesla T4 compatibility phase are recorded in that phase's own evidence records; this final A6000 run's environment manifest is retained alongside the archives above rather than restated here.</w:t>
      </w:r>
    </w:p>
    <w:sectPr>
      <w:pgSz w:w="16838" w:h="11906" w:orient="portrait"/>
      <w:pgMar w:top="500" w:right="450" w:bottom="50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2026-09-15T22:56:07.766Z</dcterms:created>
  <dcterms:modified xsi:type="dcterms:W3CDTF">2026-09-15T22:56:07.767Z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