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0"/>
          <w:szCs w:val="30"/>
        </w:rPr>
        <w:t xml:space="preserve">Six-Dataset Characteristics and Heterophily Analysis — Final</w:t>
      </w:r>
    </w:p>
    <w:p>
      <w:pPr>
        <w:spacing w:after="120"/>
      </w:pPr>
      <w:r>
        <w:rPr>
          <w:rFonts w:ascii="Arial" w:cs="Arial" w:eastAsia="Arial" w:hAnsi="Arial"/>
          <w:i/>
          <w:iCs/>
          <w:color w:val="5F5E5A"/>
          <w:sz w:val="20"/>
          <w:szCs w:val="20"/>
        </w:rPr>
        <w:t xml:space="preserve">YelpChi · Amazon · T-Finance · T-Social · Elliptic · FDCompCN  |  Protocol v4.4  |  15 September 2026</w:t>
      </w:r>
    </w:p>
    <w:p>
      <w:pPr>
        <w:spacing w:after="110" w:before="260"/>
      </w:pPr>
      <w:r>
        <w:rPr>
          <w:rFonts w:ascii="Arial" w:cs="Arial" w:eastAsia="Arial" w:hAnsi="Arial"/>
          <w:b/>
          <w:bCs/>
          <w:color w:val="7A1F3D"/>
          <w:sz w:val="24"/>
          <w:szCs w:val="24"/>
        </w:rPr>
        <w:t xml:space="preserve">1. Purpose and Protocol</w:t>
      </w:r>
    </w:p>
    <w:p>
      <w:pPr>
        <w:spacing w:after="80"/>
      </w:pPr>
      <w:r>
        <w:rPr>
          <w:rFonts w:ascii="Arial" w:cs="Arial" w:eastAsia="Arial" w:hAnsi="Arial"/>
          <w:sz w:val="20"/>
          <w:szCs w:val="20"/>
        </w:rPr>
        <w:t xml:space="preserve">This document reports the measured characteristics, graph structure, and heterophily evidence for the six canonical benchmark datasets, and states which experimental gates remain open before the dataset registry is finalised. All reported measurements are taken directly from the verified audit outputs; where a comparison or ratio is introduced for interpretation rather than copied directly, it is identified as a derived figure rather than a raw measurement.</w:t>
      </w:r>
    </w:p>
    <w:p>
      <w:pPr>
        <w:spacing w:after="140"/>
      </w:pPr>
      <w:r>
        <w:rPr>
          <w:rFonts w:ascii="Arial" w:cs="Arial" w:eastAsia="Arial" w:hAnsi="Arial"/>
          <w:i/>
          <w:iCs/>
          <w:color w:val="5F5E5A"/>
          <w:sz w:val="17"/>
          <w:szCs w:val="17"/>
        </w:rPr>
        <w:t xml:space="preserve">Dataset source, derived representation view, and experimental split are treated as three separate objects throughout. No topology, label, or balance editing is applied to any canonical dataset for the purpose of improving downstream results. Where a dataset has more than one relation type, the relation-preserving representation remains the reference view; a combined homogeneous view is supplied only where a specific method requires one, and is never treated as replacing the relation-preserving view.</w:t>
      </w:r>
    </w:p>
    <w:p>
      <w:pPr>
        <w:spacing w:after="100"/>
      </w:pPr>
      <w:r>
        <w:rPr>
          <w:rFonts w:ascii="Arial" w:cs="Arial" w:eastAsia="Arial" w:hAnsi="Arial"/>
          <w:b/>
          <w:bCs/>
          <w:sz w:val="20"/>
          <w:szCs w:val="20"/>
        </w:rPr>
        <w:t xml:space="preserve">Core definitions. </w:t>
      </w:r>
      <w:r>
        <w:rPr>
          <w:rFonts w:ascii="Arial" w:cs="Arial" w:eastAsia="Arial" w:hAnsi="Arial"/>
          <w:sz w:val="20"/>
          <w:szCs w:val="20"/>
        </w:rPr>
        <w:t xml:space="preserve"> Global heterophily (H) is the fraction of eligible labelled edges connecting a normal node to an anomaly node. Local heterophily is computed per node — the fraction of a node's own eligible labelled neighbours carrying a different label — and is then averaged separately across all nodes, anomaly nodes only, and normal nodes only. The anomaly-node figure is the primary camouflage-relevant statistic. Standard deviation figures use the population convention throughout.</w:t>
      </w:r>
    </w:p>
    <w:p>
      <w:pPr>
        <w:spacing w:after="110" w:before="260"/>
      </w:pPr>
      <w:r>
        <w:rPr>
          <w:rFonts w:ascii="Arial" w:cs="Arial" w:eastAsia="Arial" w:hAnsi="Arial"/>
          <w:b/>
          <w:bCs/>
          <w:color w:val="7A1F3D"/>
          <w:sz w:val="24"/>
          <w:szCs w:val="24"/>
        </w:rPr>
        <w:t xml:space="preserve">2. Dataset Roles and Semantics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1350"/>
        <w:gridCol w:w="3350"/>
        <w:gridCol w:w="2650"/>
      </w:tblGrid>
      <w:tr>
        <w:trPr>
          <w:tblHeader/>
        </w:trPr>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21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Task / domain</w:t>
            </w:r>
          </w:p>
        </w:tc>
        <w:tc>
          <w:tcPr>
            <w:tcW w:type="dxa" w:w="13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Target node</w:t>
            </w:r>
          </w:p>
        </w:tc>
        <w:tc>
          <w:tcPr>
            <w:tcW w:type="dxa" w:w="33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Relation structure</w:t>
            </w:r>
          </w:p>
        </w:tc>
        <w:tc>
          <w:tcPr>
            <w:tcW w:type="dxa" w:w="26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Label provenance</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Review spam / suspicious-review detection</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Review</w:t>
            </w:r>
          </w:p>
        </w:tc>
        <w:tc>
          <w:tcPr>
            <w:tcW w:type="dxa" w:w="3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R-U-R (same user), R-S-R (same business+rating), R-T-R (same business+month)</w:t>
            </w:r>
          </w:p>
        </w:tc>
        <w:tc>
          <w:tcPr>
            <w:tcW w:type="dxa" w:w="2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Real-world proxy label; static, multi-relational</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Fraudulent reviewer / user anomaly detection</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User</w:t>
            </w:r>
          </w:p>
        </w:tc>
        <w:tc>
          <w:tcPr>
            <w:tcW w:type="dxa" w:w="3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U-P-U (same product), U-S-U (same rating, 1 week), U-V-U (text similarity)</w:t>
            </w:r>
          </w:p>
        </w:tc>
        <w:tc>
          <w:tcPr>
            <w:tcW w:type="dxa" w:w="2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Real-world label on 8,639 eligible users; 3,305 nodes remain unlabelled</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T-Finance</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Financial account anomaly detection</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Account</w:t>
            </w:r>
          </w:p>
        </w:tc>
        <w:tc>
          <w:tcPr>
            <w:tcW w:type="dxa" w:w="3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Single transaction-network relation</w:t>
            </w:r>
          </w:p>
        </w:tc>
        <w:tc>
          <w:tcPr>
            <w:tcW w:type="dxa" w:w="2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Official one-hot labels, author argmax(1) decoding</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T-Social</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Social-network anomalous-account detection</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Account</w:t>
            </w:r>
          </w:p>
        </w:tc>
        <w:tc>
          <w:tcPr>
            <w:tcW w:type="dxa" w:w="3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Single friendship relation</w:t>
            </w:r>
          </w:p>
        </w:tc>
        <w:tc>
          <w:tcPr>
            <w:tcW w:type="dxa" w:w="2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Real-world label; full graph retained</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Elliptic</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Bitcoin illicit-transaction detection (AML)</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Transaction</w:t>
            </w:r>
          </w:p>
        </w:tc>
        <w:tc>
          <w:tcPr>
            <w:tcW w:type="dxa" w:w="3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Directed BTC payment-flow relation; 49 chronological time steps</w:t>
            </w:r>
          </w:p>
        </w:tc>
        <w:tc>
          <w:tcPr>
            <w:tcW w:type="dxa" w:w="2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Licit/illicit/unknown labels; unknown majority excluded from supervised metrics</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Company financial-statement fraud detection</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Company</w:t>
            </w:r>
          </w:p>
        </w:tc>
        <w:tc>
          <w:tcPr>
            <w:tcW w:type="dxa" w:w="3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C-I-C investment, C-P-C customer, C-S-C supplier</w:t>
            </w:r>
          </w:p>
        </w:tc>
        <w:tc>
          <w:tcPr>
            <w:tcW w:type="dxa" w:w="2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Official processed label from the source release</w:t>
            </w:r>
          </w:p>
        </w:tc>
      </w:tr>
    </w:tbl>
    <w:p>
      <w:pPr>
        <w:spacing w:after="140"/>
      </w:pPr>
      <w:r>
        <w:rPr>
          <w:rFonts w:ascii="Arial" w:cs="Arial" w:eastAsia="Arial" w:hAnsi="Arial"/>
          <w:i/>
          <w:iCs/>
          <w:color w:val="5F5E5A"/>
          <w:sz w:val="17"/>
          <w:szCs w:val="17"/>
        </w:rPr>
        <w:t xml:space="preserve">This table separates what is being predicted and how labels arise from the graph structure itself. Two datasets can have similar class imbalance while differing sharply in relation semantics and label coverage, which affects how well a given model mechanism is likely to transfer between them.</w:t>
      </w:r>
    </w:p>
    <w:p>
      <w:pPr>
        <w:spacing w:after="110" w:before="260"/>
      </w:pPr>
      <w:r>
        <w:rPr>
          <w:rFonts w:ascii="Arial" w:cs="Arial" w:eastAsia="Arial" w:hAnsi="Arial"/>
          <w:b/>
          <w:bCs/>
          <w:color w:val="7A1F3D"/>
          <w:sz w:val="24"/>
          <w:szCs w:val="24"/>
        </w:rPr>
        <w:t xml:space="preserve">3. Core Dataset Characteristics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1250"/>
        <w:gridCol w:w="1150"/>
        <w:gridCol w:w="950"/>
        <w:gridCol w:w="1250"/>
        <w:gridCol w:w="1200"/>
        <w:gridCol w:w="1650"/>
        <w:gridCol w:w="1400"/>
      </w:tblGrid>
      <w:tr>
        <w:trPr>
          <w:tblHeader/>
        </w:trPr>
        <w:tc>
          <w:tcPr>
            <w:tcW w:type="dxa" w:w="11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12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Nodes</w:t>
            </w:r>
          </w:p>
        </w:tc>
        <w:tc>
          <w:tcPr>
            <w:tcW w:type="dxa" w:w="12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Labelled</w:t>
            </w:r>
          </w:p>
        </w:tc>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Unlabelled</w:t>
            </w:r>
          </w:p>
        </w:tc>
        <w:tc>
          <w:tcPr>
            <w:tcW w:type="dxa" w:w="9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Features</w:t>
            </w:r>
          </w:p>
        </w:tc>
        <w:tc>
          <w:tcPr>
            <w:tcW w:type="dxa" w:w="12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Anomaly</w:t>
            </w:r>
          </w:p>
        </w:tc>
        <w:tc>
          <w:tcPr>
            <w:tcW w:type="dxa" w:w="12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Normal</w:t>
            </w:r>
          </w:p>
        </w:tc>
        <w:tc>
          <w:tcPr>
            <w:tcW w:type="dxa" w:w="16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Anomaly %</w:t>
            </w:r>
          </w:p>
        </w:tc>
        <w:tc>
          <w:tcPr>
            <w:tcW w:type="dxa" w:w="14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Imbalance</w:t>
            </w:r>
          </w:p>
        </w:tc>
      </w:tr>
      <w:tr>
        <w:trPr>
          <w:cantSplit/>
        </w:trPr>
        <w:tc>
          <w:tcPr>
            <w:tcW w:type="dxa" w:w="110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45,954</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45,954</w:t>
            </w:r>
          </w:p>
        </w:tc>
        <w:tc>
          <w:tcPr>
            <w:tcW w:type="dxa" w:w="11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c>
          <w:tcPr>
            <w:tcW w:type="dxa" w:w="9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32</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6,677</w:t>
            </w:r>
          </w:p>
        </w:tc>
        <w:tc>
          <w:tcPr>
            <w:tcW w:type="dxa" w:w="12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39,277</w:t>
            </w:r>
          </w:p>
        </w:tc>
        <w:tc>
          <w:tcPr>
            <w:tcW w:type="dxa" w:w="1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14.53% (labelled)</w:t>
            </w:r>
          </w:p>
        </w:tc>
        <w:tc>
          <w:tcPr>
            <w:tcW w:type="dxa" w:w="14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5.88:1</w:t>
            </w:r>
          </w:p>
        </w:tc>
      </w:tr>
      <w:tr>
        <w:trPr>
          <w:cantSplit/>
        </w:trPr>
        <w:tc>
          <w:tcPr>
            <w:tcW w:type="dxa" w:w="110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11,944</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8,639</w:t>
            </w:r>
          </w:p>
        </w:tc>
        <w:tc>
          <w:tcPr>
            <w:tcW w:type="dxa" w:w="11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3,305</w:t>
            </w:r>
          </w:p>
        </w:tc>
        <w:tc>
          <w:tcPr>
            <w:tcW w:type="dxa" w:w="9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25</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821</w:t>
            </w:r>
          </w:p>
        </w:tc>
        <w:tc>
          <w:tcPr>
            <w:tcW w:type="dxa" w:w="12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7,818</w:t>
            </w:r>
          </w:p>
        </w:tc>
        <w:tc>
          <w:tcPr>
            <w:tcW w:type="dxa" w:w="1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9.50% labelled
(6.87% of all)</w:t>
            </w:r>
          </w:p>
        </w:tc>
        <w:tc>
          <w:tcPr>
            <w:tcW w:type="dxa" w:w="14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9.52:1</w:t>
            </w:r>
          </w:p>
        </w:tc>
      </w:tr>
      <w:tr>
        <w:trPr>
          <w:cantSplit/>
        </w:trPr>
        <w:tc>
          <w:tcPr>
            <w:tcW w:type="dxa" w:w="110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T-Finance</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39,357</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39,357</w:t>
            </w:r>
          </w:p>
        </w:tc>
        <w:tc>
          <w:tcPr>
            <w:tcW w:type="dxa" w:w="11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c>
          <w:tcPr>
            <w:tcW w:type="dxa" w:w="9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10</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1,804*</w:t>
            </w:r>
          </w:p>
        </w:tc>
        <w:tc>
          <w:tcPr>
            <w:tcW w:type="dxa" w:w="12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37,553</w:t>
            </w:r>
          </w:p>
        </w:tc>
        <w:tc>
          <w:tcPr>
            <w:tcW w:type="dxa" w:w="1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4.58% (labelled)</w:t>
            </w:r>
          </w:p>
        </w:tc>
        <w:tc>
          <w:tcPr>
            <w:tcW w:type="dxa" w:w="14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20.82:1</w:t>
            </w:r>
          </w:p>
        </w:tc>
      </w:tr>
      <w:tr>
        <w:trPr>
          <w:cantSplit/>
        </w:trPr>
        <w:tc>
          <w:tcPr>
            <w:tcW w:type="dxa" w:w="110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T-Social</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5,781,065</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5,781,065</w:t>
            </w:r>
          </w:p>
        </w:tc>
        <w:tc>
          <w:tcPr>
            <w:tcW w:type="dxa" w:w="11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c>
          <w:tcPr>
            <w:tcW w:type="dxa" w:w="9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10</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174,280</w:t>
            </w:r>
          </w:p>
        </w:tc>
        <w:tc>
          <w:tcPr>
            <w:tcW w:type="dxa" w:w="12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5,606,785</w:t>
            </w:r>
          </w:p>
        </w:tc>
        <w:tc>
          <w:tcPr>
            <w:tcW w:type="dxa" w:w="1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3.01% (labelled)</w:t>
            </w:r>
          </w:p>
        </w:tc>
        <w:tc>
          <w:tcPr>
            <w:tcW w:type="dxa" w:w="14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32.17:1</w:t>
            </w:r>
          </w:p>
        </w:tc>
      </w:tr>
      <w:tr>
        <w:trPr>
          <w:cantSplit/>
        </w:trPr>
        <w:tc>
          <w:tcPr>
            <w:tcW w:type="dxa" w:w="110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Elliptic</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203,769</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46,564</w:t>
            </w:r>
          </w:p>
        </w:tc>
        <w:tc>
          <w:tcPr>
            <w:tcW w:type="dxa" w:w="11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157,205</w:t>
            </w:r>
          </w:p>
        </w:tc>
        <w:tc>
          <w:tcPr>
            <w:tcW w:type="dxa" w:w="9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166</w:t>
            </w:r>
          </w:p>
        </w:tc>
        <w:tc>
          <w:tcPr>
            <w:tcW w:type="dxa" w:w="12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4,545</w:t>
            </w:r>
          </w:p>
        </w:tc>
        <w:tc>
          <w:tcPr>
            <w:tcW w:type="dxa" w:w="12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42,019</w:t>
            </w:r>
          </w:p>
        </w:tc>
        <w:tc>
          <w:tcPr>
            <w:tcW w:type="dxa" w:w="1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9.76% labelled
(2.23% of all)</w:t>
            </w:r>
          </w:p>
        </w:tc>
        <w:tc>
          <w:tcPr>
            <w:tcW w:type="dxa" w:w="14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9.25:1</w:t>
            </w:r>
          </w:p>
        </w:tc>
      </w:tr>
      <w:tr>
        <w:trPr>
          <w:cantSplit/>
        </w:trPr>
        <w:tc>
          <w:tcPr>
            <w:tcW w:type="dxa" w:w="110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5,317</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5,317</w:t>
            </w:r>
          </w:p>
        </w:tc>
        <w:tc>
          <w:tcPr>
            <w:tcW w:type="dxa" w:w="11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c>
          <w:tcPr>
            <w:tcW w:type="dxa" w:w="9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57</w:t>
            </w:r>
          </w:p>
        </w:tc>
        <w:tc>
          <w:tcPr>
            <w:tcW w:type="dxa" w:w="12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559</w:t>
            </w:r>
          </w:p>
        </w:tc>
        <w:tc>
          <w:tcPr>
            <w:tcW w:type="dxa" w:w="12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4,758</w:t>
            </w:r>
          </w:p>
        </w:tc>
        <w:tc>
          <w:tcPr>
            <w:tcW w:type="dxa" w:w="1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10.51% (labelled)</w:t>
            </w:r>
          </w:p>
        </w:tc>
        <w:tc>
          <w:tcPr>
            <w:tcW w:type="dxa" w:w="14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8.51:1</w:t>
            </w:r>
          </w:p>
        </w:tc>
      </w:tr>
    </w:tbl>
    <w:p>
      <w:pPr>
        <w:spacing w:after="140"/>
      </w:pPr>
      <w:r>
        <w:rPr>
          <w:rFonts w:ascii="Arial" w:cs="Arial" w:eastAsia="Arial" w:hAnsi="Arial"/>
          <w:i/>
          <w:iCs/>
          <w:color w:val="5F5E5A"/>
          <w:sz w:val="17"/>
          <w:szCs w:val="17"/>
        </w:rPr>
        <w:t xml:space="preserve">* T-Finance anomaly count is confirmed at 1,804 after direct inspection of the raw two-column label tensor (1,804 rows of the form [0,1], 37,553 of the form [1,0]; zero tie rows across all 39,357 nodes). This is a verified correction; earlier project figures using 1,803 are superseded by this measurement. Amazon and Elliptic both carry a structurally-present but unlabelled population, which is why two anomaly-percentage figures are given for each — the labelled-population figure is the primary class-imbalance statistic, since only labelled nodes are eligible for supervised evaluation.</w:t>
      </w:r>
    </w:p>
    <w:p>
      <w:pPr>
        <w:spacing w:after="110" w:before="260"/>
      </w:pPr>
      <w:r>
        <w:rPr>
          <w:rFonts w:ascii="Arial" w:cs="Arial" w:eastAsia="Arial" w:hAnsi="Arial"/>
          <w:b/>
          <w:bCs/>
          <w:color w:val="7A1F3D"/>
          <w:sz w:val="24"/>
          <w:szCs w:val="24"/>
        </w:rPr>
        <w:t xml:space="preserve">4. Graph Structure</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150"/>
        <w:gridCol w:w="1550"/>
        <w:gridCol w:w="1700"/>
        <w:gridCol w:w="1350"/>
        <w:gridCol w:w="1500"/>
        <w:gridCol w:w="1550"/>
        <w:gridCol w:w="1650"/>
      </w:tblGrid>
      <w:tr>
        <w:trPr>
          <w:tblHeader/>
        </w:trPr>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15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Logical edges</w:t>
            </w:r>
          </w:p>
        </w:tc>
        <w:tc>
          <w:tcPr>
            <w:tcW w:type="dxa" w:w="17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Mean / median degree</w:t>
            </w:r>
          </w:p>
        </w:tc>
        <w:tc>
          <w:tcPr>
            <w:tcW w:type="dxa" w:w="13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Density</w:t>
            </w:r>
          </w:p>
        </w:tc>
        <w:tc>
          <w:tcPr>
            <w:tcW w:type="dxa" w:w="15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Components</w:t>
            </w:r>
          </w:p>
        </w:tc>
        <w:tc>
          <w:tcPr>
            <w:tcW w:type="dxa" w:w="15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Largest component share</w:t>
            </w:r>
          </w:p>
        </w:tc>
        <w:tc>
          <w:tcPr>
            <w:tcW w:type="dxa" w:w="16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Isolates</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15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3,846,979</w:t>
            </w:r>
          </w:p>
        </w:tc>
        <w:tc>
          <w:tcPr>
            <w:tcW w:type="dxa" w:w="17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167.4 / 168.0</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0.003643</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26</w:t>
            </w:r>
          </w:p>
        </w:tc>
        <w:tc>
          <w:tcPr>
            <w:tcW w:type="dxa" w:w="15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99.88%</w:t>
            </w:r>
          </w:p>
        </w:tc>
        <w:tc>
          <w:tcPr>
            <w:tcW w:type="dxa" w:w="1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13 (0.03%)</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15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4,398,392</w:t>
            </w:r>
          </w:p>
        </w:tc>
        <w:tc>
          <w:tcPr>
            <w:tcW w:type="dxa" w:w="17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736.5 / 399.0</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0.061668</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w:t>
            </w:r>
          </w:p>
        </w:tc>
        <w:tc>
          <w:tcPr>
            <w:tcW w:type="dxa" w:w="15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100%</w:t>
            </w:r>
          </w:p>
        </w:tc>
        <w:tc>
          <w:tcPr>
            <w:tcW w:type="dxa" w:w="1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T-Finance</w:t>
            </w:r>
          </w:p>
        </w:tc>
        <w:tc>
          <w:tcPr>
            <w:tcW w:type="dxa" w:w="15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21,222,543</w:t>
            </w:r>
          </w:p>
        </w:tc>
        <w:tc>
          <w:tcPr>
            <w:tcW w:type="dxa" w:w="17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1078.5 / 265.0</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0.027403</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w:t>
            </w:r>
          </w:p>
        </w:tc>
        <w:tc>
          <w:tcPr>
            <w:tcW w:type="dxa" w:w="15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99.98%</w:t>
            </w:r>
          </w:p>
        </w:tc>
        <w:tc>
          <w:tcPr>
            <w:tcW w:type="dxa" w:w="1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T-Social</w:t>
            </w:r>
          </w:p>
        </w:tc>
        <w:tc>
          <w:tcPr>
            <w:tcW w:type="dxa" w:w="15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73,105,508</w:t>
            </w:r>
          </w:p>
        </w:tc>
        <w:tc>
          <w:tcPr>
            <w:tcW w:type="dxa" w:w="17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25.3 / 10.0</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0.0000044</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3,437</w:t>
            </w:r>
          </w:p>
        </w:tc>
        <w:tc>
          <w:tcPr>
            <w:tcW w:type="dxa" w:w="15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98.56%</w:t>
            </w:r>
          </w:p>
        </w:tc>
        <w:tc>
          <w:tcPr>
            <w:tcW w:type="dxa" w:w="1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Elliptic</w:t>
            </w:r>
          </w:p>
        </w:tc>
        <w:tc>
          <w:tcPr>
            <w:tcW w:type="dxa" w:w="15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234,355</w:t>
            </w:r>
          </w:p>
        </w:tc>
        <w:tc>
          <w:tcPr>
            <w:tcW w:type="dxa" w:w="17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2.3 / 2.0</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0.0000056</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49</w:t>
            </w:r>
          </w:p>
        </w:tc>
        <w:tc>
          <w:tcPr>
            <w:tcW w:type="dxa" w:w="15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3.87%</w:t>
            </w:r>
          </w:p>
        </w:tc>
        <w:tc>
          <w:tcPr>
            <w:tcW w:type="dxa" w:w="16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15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3,634</w:t>
            </w:r>
          </w:p>
        </w:tc>
        <w:tc>
          <w:tcPr>
            <w:tcW w:type="dxa" w:w="17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1.37 / 0.0</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0.000257</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2,911</w:t>
            </w:r>
          </w:p>
        </w:tc>
        <w:tc>
          <w:tcPr>
            <w:tcW w:type="dxa" w:w="15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42.11%</w:t>
            </w:r>
          </w:p>
        </w:tc>
        <w:tc>
          <w:tcPr>
            <w:tcW w:type="dxa" w:w="16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2,785 (52.38%)</w:t>
            </w:r>
          </w:p>
        </w:tc>
      </w:tr>
    </w:tbl>
    <w:p>
      <w:pPr>
        <w:spacing w:after="140"/>
      </w:pPr>
      <w:r>
        <w:rPr>
          <w:rFonts w:ascii="Arial" w:cs="Arial" w:eastAsia="Arial" w:hAnsi="Arial"/>
          <w:i/>
          <w:iCs/>
          <w:color w:val="5F5E5A"/>
          <w:sz w:val="17"/>
          <w:szCs w:val="17"/>
        </w:rPr>
        <w:t xml:space="preserve">T-Social is by far the largest dataset by node count — about 28× the next-largest dataset (Elliptic) — and has the largest logical-edge count, though its edge count relative to T-Finance is a more modest ~3.4×; “orders of magnitude” is not an accurate description of every pairwise comparison here. T-Finance shows a strongly right-skewed degree distribution (mean 1,078 far above median 265), indicating hub-like nodes. FDCompCN is the most structurally fragmented dataset: 52.38% of nodes are isolated in the combined view and the largest connected component holds only 42.11% of all nodes — relevant for any model relying on multi-hop message passing.</w:t>
      </w:r>
    </w:p>
    <w:p>
      <w:pPr>
        <w:spacing w:after="110" w:before="260"/>
      </w:pPr>
      <w:r>
        <w:rPr>
          <w:rFonts w:ascii="Arial" w:cs="Arial" w:eastAsia="Arial" w:hAnsi="Arial"/>
          <w:b/>
          <w:bCs/>
          <w:color w:val="7A1F3D"/>
          <w:sz w:val="24"/>
          <w:szCs w:val="24"/>
        </w:rPr>
        <w:t xml:space="preserve">5. Heterophily and Class-Asymmetric Mixing</w:t>
      </w:r>
    </w:p>
    <w:tbl>
      <w:tblPr>
        <w:tblW w:type="dxa" w:w="10550"/>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1900"/>
        <w:gridCol w:w="1900"/>
        <w:gridCol w:w="1900"/>
        <w:gridCol w:w="2350"/>
      </w:tblGrid>
      <w:tr>
        <w:trPr>
          <w:tblHeader/>
        </w:trPr>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13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Global H</w:t>
            </w:r>
          </w:p>
        </w:tc>
        <w:tc>
          <w:tcPr>
            <w:tcW w:type="dxa" w:w="19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Local H — all nodes</w:t>
            </w:r>
          </w:p>
        </w:tc>
        <w:tc>
          <w:tcPr>
            <w:tcW w:type="dxa" w:w="19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Local H — anomaly nodes</w:t>
            </w:r>
          </w:p>
        </w:tc>
        <w:tc>
          <w:tcPr>
            <w:tcW w:type="dxa" w:w="19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Local H — normal nodes</w:t>
            </w:r>
          </w:p>
        </w:tc>
        <w:tc>
          <w:tcPr>
            <w:tcW w:type="dxa" w:w="23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Anomaly−normal gap</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0.226955</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0.230</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0.805</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0.132</w:t>
            </w:r>
          </w:p>
        </w:tc>
        <w:tc>
          <w:tcPr>
            <w:tcW w:type="dxa" w:w="2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gap ≈ 0.673</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0.051228</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0.114</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0.862</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0.036</w:t>
            </w:r>
          </w:p>
        </w:tc>
        <w:tc>
          <w:tcPr>
            <w:tcW w:type="dxa" w:w="2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gap ≈ 0.827 (largest)</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T-Finance</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0.029219</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0.043</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0.456</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0.024</w:t>
            </w:r>
          </w:p>
        </w:tc>
        <w:tc>
          <w:tcPr>
            <w:tcW w:type="dxa" w:w="2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gap ≈ 0.433</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T-Social</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0.376095</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0.122</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0.826</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0.100</w:t>
            </w:r>
          </w:p>
        </w:tc>
        <w:tc>
          <w:tcPr>
            <w:tcW w:type="dxa" w:w="2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gap ≈ 0.726</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Elliptic</w:t>
            </w:r>
          </w:p>
        </w:tc>
        <w:tc>
          <w:tcPr>
            <w:tcW w:type="dxa" w:w="1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0.046308</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0.051</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0.490</w:t>
            </w:r>
          </w:p>
        </w:tc>
        <w:tc>
          <w:tcPr>
            <w:tcW w:type="dxa" w:w="19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0.018</w:t>
            </w:r>
          </w:p>
        </w:tc>
        <w:tc>
          <w:tcPr>
            <w:tcW w:type="dxa" w:w="23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gap ≈ 0.472</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1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0.145019</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0.160</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0.862</w:t>
            </w:r>
          </w:p>
        </w:tc>
        <w:tc>
          <w:tcPr>
            <w:tcW w:type="dxa" w:w="19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0.089</w:t>
            </w:r>
          </w:p>
        </w:tc>
        <w:tc>
          <w:tcPr>
            <w:tcW w:type="dxa" w:w="23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gap ≈ 0.773</w:t>
            </w:r>
          </w:p>
        </w:tc>
      </w:tr>
    </w:tbl>
    <w:p>
      <w:pPr>
        <w:spacing w:after="140"/>
      </w:pPr>
      <w:r>
        <w:rPr>
          <w:rFonts w:ascii="Arial" w:cs="Arial" w:eastAsia="Arial" w:hAnsi="Arial"/>
          <w:i/>
          <w:iCs/>
          <w:color w:val="5F5E5A"/>
          <w:sz w:val="17"/>
          <w:szCs w:val="17"/>
        </w:rPr>
        <w:t xml:space="preserve">All six datasets show a consistent class-asymmetric neighbourhood-mixing pattern: anomaly nodes have substantially higher local heterophily than normal nodes, even on datasets with low global heterophily. This is consistent with the camouflage behaviour that motivates heterophily-aware fraud-detection methods, though the graph statistics alone do not establish intent — they establish the structural pattern that such methods are designed to exploit. The final column (anomaly-minus-normal local-H gap) is a derived interpretive figure, not a stored measurement, and ranks the six datasets by how strongly this asymmetry presents: Amazon shows the largest gap, followed by FDCompCN, T-Social, YelpChi, Elliptic, and T-Finance.</w:t>
      </w:r>
    </w:p>
    <w:p>
      <w:pPr>
        <w:spacing w:after="110" w:before="260"/>
      </w:pPr>
      <w:r>
        <w:rPr>
          <w:rFonts w:ascii="Arial" w:cs="Arial" w:eastAsia="Arial" w:hAnsi="Arial"/>
          <w:b/>
          <w:bCs/>
          <w:color w:val="7A1F3D"/>
          <w:sz w:val="24"/>
          <w:szCs w:val="24"/>
        </w:rPr>
        <w:t xml:space="preserve">6. Relation-Level Heterophily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50"/>
        <w:gridCol w:w="2450"/>
        <w:gridCol w:w="1500"/>
        <w:gridCol w:w="2000"/>
        <w:gridCol w:w="2100"/>
      </w:tblGrid>
      <w:tr>
        <w:trPr>
          <w:tblHeader/>
        </w:trPr>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24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Relation</w:t>
            </w:r>
          </w:p>
        </w:tc>
        <w:tc>
          <w:tcPr>
            <w:tcW w:type="dxa" w:w="15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Global H</w:t>
            </w:r>
          </w:p>
        </w:tc>
        <w:tc>
          <w:tcPr>
            <w:tcW w:type="dxa" w:w="20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Local H — anomaly</w:t>
            </w:r>
          </w:p>
        </w:tc>
        <w:tc>
          <w:tcPr>
            <w:tcW w:type="dxa" w:w="21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Local H — normal</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24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R-U-R (same user)</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0.0036</w:t>
            </w:r>
          </w:p>
        </w:tc>
        <w:tc>
          <w:tcPr>
            <w:tcW w:type="dxa" w:w="20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0.075</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0.004</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24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R-T-R (same business+month)</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0.2407</w:t>
            </w:r>
          </w:p>
        </w:tc>
        <w:tc>
          <w:tcPr>
            <w:tcW w:type="dxa" w:w="20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0.820</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0.140</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24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R-S-R (same business+rating)</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0.2278</w:t>
            </w:r>
          </w:p>
        </w:tc>
        <w:tc>
          <w:tcPr>
            <w:tcW w:type="dxa" w:w="20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0.795</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0.135</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24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U-P-U (same product)</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0.2148</w:t>
            </w:r>
          </w:p>
        </w:tc>
        <w:tc>
          <w:tcPr>
            <w:tcW w:type="dxa" w:w="20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0.887</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0.056</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24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U-S-U (same rating, 1 week)</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0.0444</w:t>
            </w:r>
          </w:p>
        </w:tc>
        <w:tc>
          <w:tcPr>
            <w:tcW w:type="dxa" w:w="20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0.842</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0.035</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24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U-V-U (text similarity)</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0.0389</w:t>
            </w:r>
          </w:p>
        </w:tc>
        <w:tc>
          <w:tcPr>
            <w:tcW w:type="dxa" w:w="20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0.791</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0.032</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24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C-I-C — investment (invest_bc2bc)</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0.1366</w:t>
            </w:r>
          </w:p>
        </w:tc>
        <w:tc>
          <w:tcPr>
            <w:tcW w:type="dxa" w:w="20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0.847</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0.084</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24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C-P-C — customer (provide_bc2bc)</w:t>
            </w:r>
          </w:p>
        </w:tc>
        <w:tc>
          <w:tcPr>
            <w:tcW w:type="dxa" w:w="15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0.1658</w:t>
            </w:r>
          </w:p>
        </w:tc>
        <w:tc>
          <w:tcPr>
            <w:tcW w:type="dxa" w:w="20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0.910</w:t>
            </w:r>
          </w:p>
        </w:tc>
        <w:tc>
          <w:tcPr>
            <w:tcW w:type="dxa" w:w="21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0.096</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24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C-S-C — supplier (sale_bc2bc)</w:t>
            </w:r>
          </w:p>
        </w:tc>
        <w:tc>
          <w:tcPr>
            <w:tcW w:type="dxa" w:w="15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0.1689</w:t>
            </w:r>
          </w:p>
        </w:tc>
        <w:tc>
          <w:tcPr>
            <w:tcW w:type="dxa" w:w="20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0.898</w:t>
            </w:r>
          </w:p>
        </w:tc>
        <w:tc>
          <w:tcPr>
            <w:tcW w:type="dxa" w:w="21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mean 0.099</w:t>
            </w:r>
          </w:p>
        </w:tc>
      </w:tr>
    </w:tbl>
    <w:p>
      <w:pPr>
        <w:spacing w:after="140"/>
      </w:pPr>
      <w:r>
        <w:rPr>
          <w:rFonts w:ascii="Arial" w:cs="Arial" w:eastAsia="Arial" w:hAnsi="Arial"/>
          <w:i/>
          <w:iCs/>
          <w:color w:val="5F5E5A"/>
          <w:sz w:val="17"/>
          <w:szCs w:val="17"/>
        </w:rPr>
        <w:t xml:space="preserve">Relation-level results explain why flattening a multi-relational graph into one combined view can hide structure a relation-aware model could otherwise use. YelpChi's R-U-R (same reviewer) is nearly homophilous (H≈0.004), while R-T-R and R-S-R are far more mixed (H≈0.24 and 0.23) — a ~65–67× difference within the same dataset. Amazon shows a comparable pattern: U-P-U is markedly more heterophilic than U-S-U or U-V-U. FDCompCN's three relations are comparatively close to one another (H between 0.137 and 0.169), with anomaly local heterophily consistently high across all three (0.847–0.910).</w:t>
      </w:r>
    </w:p>
    <w:p>
      <w:pPr>
        <w:spacing w:after="140"/>
      </w:pPr>
      <w:r>
        <w:rPr>
          <w:rFonts w:ascii="Arial" w:cs="Arial" w:eastAsia="Arial" w:hAnsi="Arial"/>
          <w:i/>
          <w:iCs/>
          <w:color w:val="5F5E5A"/>
          <w:sz w:val="17"/>
          <w:szCs w:val="17"/>
        </w:rPr>
        <w:t xml:space="preserve">FDCompCN relation naming follows the project's semantic registry: C-P-C is the customer relation (implementation key provide_bc2bc) and C-S-C is the supplier relation (implementation key sale_bc2bc). The semantic label takes precedence over the internal key name throughout this document.</w:t>
      </w:r>
    </w:p>
    <w:p>
      <w:pPr>
        <w:spacing w:after="110" w:before="260"/>
      </w:pPr>
      <w:r>
        <w:rPr>
          <w:rFonts w:ascii="Arial" w:cs="Arial" w:eastAsia="Arial" w:hAnsi="Arial"/>
          <w:b/>
          <w:bCs/>
          <w:color w:val="7A1F3D"/>
          <w:sz w:val="24"/>
          <w:szCs w:val="24"/>
        </w:rPr>
        <w:t xml:space="preserve">7. Elliptic Temporal Heterophily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400"/>
      </w:tblGrid>
      <w:tr>
        <w:trPr>
          <w:tblHeader/>
        </w:trPr>
        <w:tc>
          <w:tcPr>
            <w:tcW w:type="dxa" w:w="28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Statistic</w:t>
            </w:r>
          </w:p>
        </w:tc>
        <w:tc>
          <w:tcPr>
            <w:tcW w:type="dxa" w:w="26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Value</w:t>
            </w:r>
          </w:p>
        </w:tc>
        <w:tc>
          <w:tcPr>
            <w:tcW w:type="dxa" w:w="34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Interpretation</w:t>
            </w:r>
          </w:p>
        </w:tc>
      </w:tr>
      <w:tr>
        <w:trPr>
          <w:cantSplit/>
        </w:trPr>
        <w:tc>
          <w:tcPr>
            <w:tcW w:type="dxa" w:w="280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Pooled directed H (whole graph)</w:t>
            </w:r>
          </w:p>
        </w:tc>
        <w:tc>
          <w:tcPr>
            <w:tcW w:type="dxa" w:w="26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0.046308</w:t>
            </w:r>
          </w:p>
        </w:tc>
        <w:tc>
          <w:tcPr>
            <w:tcW w:type="dxa" w:w="34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Matches the single-graph global H in Table 4.</w:t>
            </w:r>
          </w:p>
        </w:tc>
      </w:tr>
      <w:tr>
        <w:trPr>
          <w:cantSplit/>
        </w:trPr>
        <w:tc>
          <w:tcPr>
            <w:tcW w:type="dxa" w:w="280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Minimum Hₜ</w:t>
            </w:r>
          </w:p>
        </w:tc>
        <w:tc>
          <w:tcPr>
            <w:tcW w:type="dxa" w:w="26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0.001486 (step 45)</w:t>
            </w:r>
          </w:p>
        </w:tc>
        <w:tc>
          <w:tcPr>
            <w:tcW w:type="dxa" w:w="34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2 heterophilic / 1,346 eligible directed edges.</w:t>
            </w:r>
          </w:p>
        </w:tc>
      </w:tr>
      <w:tr>
        <w:trPr>
          <w:cantSplit/>
        </w:trPr>
        <w:tc>
          <w:tcPr>
            <w:tcW w:type="dxa" w:w="280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Maximum Hₜ</w:t>
            </w:r>
          </w:p>
        </w:tc>
        <w:tc>
          <w:tcPr>
            <w:tcW w:type="dxa" w:w="26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0.244681 (step 13)</w:t>
            </w:r>
          </w:p>
        </w:tc>
        <w:tc>
          <w:tcPr>
            <w:tcW w:type="dxa" w:w="34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138 heterophilic / 564 eligible directed edges.</w:t>
            </w:r>
          </w:p>
        </w:tc>
      </w:tr>
      <w:tr>
        <w:trPr>
          <w:cantSplit/>
        </w:trPr>
        <w:tc>
          <w:tcPr>
            <w:tcW w:type="dxa" w:w="280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Unweighted mean of Hₜ across 49 steps</w:t>
            </w:r>
          </w:p>
        </w:tc>
        <w:tc>
          <w:tcPr>
            <w:tcW w:type="dxa" w:w="26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0.060855</w:t>
            </w:r>
          </w:p>
        </w:tc>
        <w:tc>
          <w:tcPr>
            <w:tcW w:type="dxa" w:w="34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Differs from pooled H because steps vary in edge count.</w:t>
            </w:r>
          </w:p>
        </w:tc>
      </w:tr>
      <w:tr>
        <w:trPr>
          <w:cantSplit/>
        </w:trPr>
        <w:tc>
          <w:tcPr>
            <w:tcW w:type="dxa" w:w="280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Range across 49 steps</w:t>
            </w:r>
          </w:p>
        </w:tc>
        <w:tc>
          <w:tcPr>
            <w:tcW w:type="dxa" w:w="26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0.0015 to 0.2447</w:t>
            </w:r>
          </w:p>
        </w:tc>
        <w:tc>
          <w:tcPr>
            <w:tcW w:type="dxa" w:w="34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About a 165× spread between the lowest and highest step.</w:t>
            </w:r>
          </w:p>
        </w:tc>
      </w:tr>
    </w:tbl>
    <w:p>
      <w:pPr>
        <w:spacing w:after="140"/>
      </w:pPr>
      <w:r>
        <w:rPr>
          <w:rFonts w:ascii="Arial" w:cs="Arial" w:eastAsia="Arial" w:hAnsi="Arial"/>
          <w:i/>
          <w:iCs/>
          <w:color w:val="5F5E5A"/>
          <w:sz w:val="17"/>
          <w:szCs w:val="17"/>
        </w:rPr>
        <w:t xml:space="preserve">Elliptic is the only temporal dataset in this registry, and heterophily is not stable across its 49 chronological snapshots — it ranges from approximately 0.0015 to 0.2447 depending on the time step. This is materially new evidence beyond the single pooled H figure, and supports evaluating this dataset chronologically rather than through a random static split. Elliptic's graph also resolves into 49 weak connected components, matching its 49 time steps — structural evidence consistent with its chronological snapshot construction (this reflects component count aligning with the time-step count, not an independently verified absence of every possible cross-step edge).</w:t>
      </w:r>
    </w:p>
    <w:p>
      <w:pPr>
        <w:spacing w:after="110" w:before="260"/>
      </w:pPr>
      <w:r>
        <w:rPr>
          <w:rFonts w:ascii="Arial" w:cs="Arial" w:eastAsia="Arial" w:hAnsi="Arial"/>
          <w:b/>
          <w:bCs/>
          <w:color w:val="7A1F3D"/>
          <w:sz w:val="24"/>
          <w:szCs w:val="24"/>
        </w:rPr>
        <w:t xml:space="preserve">8. Key Findings</w:t>
      </w:r>
    </w:p>
    <w:p>
      <w:pPr>
        <w:spacing w:after="70"/>
        <w:ind w:left="260"/>
      </w:pPr>
      <w:r>
        <w:rPr>
          <w:rFonts w:ascii="Arial" w:cs="Arial" w:eastAsia="Arial" w:hAnsi="Arial"/>
          <w:sz w:val="20"/>
          <w:szCs w:val="20"/>
        </w:rPr>
        <w:t xml:space="preserve">•  T-Social is the clear scale outlier — about 28× Elliptic's node count — and the most extreme class imbalance (32.17 normal nodes per anomaly).</w:t>
      </w:r>
    </w:p>
    <w:p>
      <w:pPr>
        <w:spacing w:after="70"/>
        <w:ind w:left="260"/>
      </w:pPr>
      <w:r>
        <w:rPr>
          <w:rFonts w:ascii="Arial" w:cs="Arial" w:eastAsia="Arial" w:hAnsi="Arial"/>
          <w:sz w:val="20"/>
          <w:szCs w:val="20"/>
        </w:rPr>
        <w:t xml:space="preserve">•  T-Finance's anomaly count is confirmed at 1,804 (not 1,803) through direct raw-label inspection; this is a resolved correction, not an open question.</w:t>
      </w:r>
    </w:p>
    <w:p>
      <w:pPr>
        <w:spacing w:after="70"/>
        <w:ind w:left="260"/>
      </w:pPr>
      <w:r>
        <w:rPr>
          <w:rFonts w:ascii="Arial" w:cs="Arial" w:eastAsia="Arial" w:hAnsi="Arial"/>
          <w:sz w:val="20"/>
          <w:szCs w:val="20"/>
        </w:rPr>
        <w:t xml:space="preserve">•  Every dataset shows the same qualitative pattern: anomaly nodes are substantially more heterophilic in their local neighbourhood than normal nodes, even where the whole-graph average heterophily is low (T-Finance, Elliptic).</w:t>
      </w:r>
    </w:p>
    <w:p>
      <w:pPr>
        <w:spacing w:after="70"/>
        <w:ind w:left="260"/>
      </w:pPr>
      <w:r>
        <w:rPr>
          <w:rFonts w:ascii="Arial" w:cs="Arial" w:eastAsia="Arial" w:hAnsi="Arial"/>
          <w:sz w:val="20"/>
          <w:szCs w:val="20"/>
        </w:rPr>
        <w:t xml:space="preserve">•  YelpChi and Amazon both show strong relation-dependence — one relation in each dataset is far more informative for separating classes than the other two, which a single combined heterophily figure would hide.</w:t>
      </w:r>
    </w:p>
    <w:p>
      <w:pPr>
        <w:spacing w:after="70"/>
        <w:ind w:left="260"/>
      </w:pPr>
      <w:r>
        <w:rPr>
          <w:rFonts w:ascii="Arial" w:cs="Arial" w:eastAsia="Arial" w:hAnsi="Arial"/>
          <w:sz w:val="20"/>
          <w:szCs w:val="20"/>
        </w:rPr>
        <w:t xml:space="preserve">•  FDCompCN is unusually fragmented (52% isolated nodes, largest component under half the graph) despite being the smallest dataset by node count.</w:t>
      </w:r>
    </w:p>
    <w:p>
      <w:pPr>
        <w:spacing w:after="70"/>
        <w:ind w:left="260"/>
      </w:pPr>
      <w:r>
        <w:rPr>
          <w:rFonts w:ascii="Arial" w:cs="Arial" w:eastAsia="Arial" w:hAnsi="Arial"/>
          <w:sz w:val="20"/>
          <w:szCs w:val="20"/>
        </w:rPr>
        <w:t xml:space="preserve">•  Elliptic has the lowest supervised label coverage of the six (22.85% of all nodes) and heterophily that varies roughly 165× across its 49 time steps.</w:t>
      </w:r>
    </w:p>
    <w:p>
      <w:pPr>
        <w:spacing w:after="70"/>
        <w:ind w:left="260"/>
      </w:pPr>
      <w:r>
        <w:rPr>
          <w:rFonts w:ascii="Arial" w:cs="Arial" w:eastAsia="Arial" w:hAnsi="Arial"/>
          <w:sz w:val="20"/>
          <w:szCs w:val="20"/>
        </w:rPr>
        <w:t xml:space="preserve">•  Amazon's two edge-count conventions — source-homogeneous (4,398,392) and three-relation union (4,417,576) — are both genuine and are not identical; the source-homogeneous view is used as the primary structural figure, with the relation-preserving view retained separately (Table 6).</w:t>
      </w:r>
    </w:p>
    <w:p>
      <w:pPr>
        <w:spacing w:after="110" w:before="260"/>
      </w:pPr>
      <w:r>
        <w:rPr>
          <w:rFonts w:ascii="Arial" w:cs="Arial" w:eastAsia="Arial" w:hAnsi="Arial"/>
          <w:b/>
          <w:bCs/>
          <w:color w:val="7A1F3D"/>
          <w:sz w:val="24"/>
          <w:szCs w:val="24"/>
        </w:rPr>
        <w:t xml:space="preserve">9. Why These Characteristics Matter for Model Benchmarking</w:t>
      </w:r>
    </w:p>
    <w:p>
      <w:pPr>
        <w:spacing w:after="70"/>
        <w:ind w:left="260"/>
      </w:pPr>
      <w:r>
        <w:rPr>
          <w:rFonts w:ascii="Arial" w:cs="Arial" w:eastAsia="Arial" w:hAnsi="Arial"/>
          <w:sz w:val="20"/>
          <w:szCs w:val="20"/>
        </w:rPr>
        <w:t xml:space="preserve">•  Severe class imbalance across all six datasets makes AUPRC (not accuracy or AUROC alone) essential for meaningful evaluation.</w:t>
      </w:r>
    </w:p>
    <w:p>
      <w:pPr>
        <w:spacing w:after="70"/>
        <w:ind w:left="260"/>
      </w:pPr>
      <w:r>
        <w:rPr>
          <w:rFonts w:ascii="Arial" w:cs="Arial" w:eastAsia="Arial" w:hAnsi="Arial"/>
          <w:sz w:val="20"/>
          <w:szCs w:val="20"/>
        </w:rPr>
        <w:t xml:space="preserve">•  High anomaly-local heterophily, present in every dataset, may favour methods specifically designed for camouflage or heterophily over standard neighbour-averaging architectures.</w:t>
      </w:r>
    </w:p>
    <w:p>
      <w:pPr>
        <w:spacing w:after="70"/>
        <w:ind w:left="260"/>
      </w:pPr>
      <w:r>
        <w:rPr>
          <w:rFonts w:ascii="Arial" w:cs="Arial" w:eastAsia="Arial" w:hAnsi="Arial"/>
          <w:sz w:val="20"/>
          <w:szCs w:val="20"/>
        </w:rPr>
        <w:t xml:space="preserve">•  Strong relation-level variation in YelpChi and Amazon motivates relation-aware architectures over models that only accept a single combined graph.</w:t>
      </w:r>
    </w:p>
    <w:p>
      <w:pPr>
        <w:spacing w:after="70"/>
        <w:ind w:left="260"/>
      </w:pPr>
      <w:r>
        <w:rPr>
          <w:rFonts w:ascii="Arial" w:cs="Arial" w:eastAsia="Arial" w:hAnsi="Arial"/>
          <w:sz w:val="20"/>
          <w:szCs w:val="20"/>
        </w:rPr>
        <w:t xml:space="preserve">•  FDCompCN's structural fragmentation may limit the effectiveness of any method relying on multi-hop message passing, independent of that method's fraud-detection mechanism.</w:t>
      </w:r>
    </w:p>
    <w:p>
      <w:pPr>
        <w:spacing w:after="70"/>
        <w:ind w:left="260"/>
      </w:pPr>
      <w:r>
        <w:rPr>
          <w:rFonts w:ascii="Arial" w:cs="Arial" w:eastAsia="Arial" w:hAnsi="Arial"/>
          <w:sz w:val="20"/>
          <w:szCs w:val="20"/>
        </w:rPr>
        <w:t xml:space="preserve">•  Elliptic's temporal heterophily variation means a random static split would misrepresent the task; chronological evaluation is a property of the dataset, not an optional design choice.</w:t>
      </w:r>
    </w:p>
    <w:p>
      <w:pPr>
        <w:spacing w:after="70"/>
        <w:ind w:left="260"/>
      </w:pPr>
      <w:r>
        <w:rPr>
          <w:rFonts w:ascii="Arial" w:cs="Arial" w:eastAsia="Arial" w:hAnsi="Arial"/>
          <w:sz w:val="20"/>
          <w:szCs w:val="20"/>
        </w:rPr>
        <w:t xml:space="preserve">•  T-Social's scale can produce full-graph feasibility differences between methods that are unrelated to predictive quality — a memory/compute limitation is a distinct finding from a modelling limitation.</w:t>
      </w:r>
    </w:p>
    <w:p>
      <w:pPr>
        <w:spacing w:after="110" w:before="260"/>
      </w:pPr>
      <w:r>
        <w:rPr>
          <w:rFonts w:ascii="Arial" w:cs="Arial" w:eastAsia="Arial" w:hAnsi="Arial"/>
          <w:b/>
          <w:bCs/>
          <w:color w:val="7A1F3D"/>
          <w:sz w:val="24"/>
          <w:szCs w:val="24"/>
        </w:rPr>
        <w:t xml:space="preserve">10. Remaining Dataset Gates</w:t>
      </w:r>
    </w:p>
    <w:p>
      <w:pPr>
        <w:spacing w:after="70"/>
        <w:ind w:left="260"/>
      </w:pPr>
      <w:r>
        <w:rPr>
          <w:rFonts w:ascii="Arial" w:cs="Arial" w:eastAsia="Arial" w:hAnsi="Arial"/>
          <w:sz w:val="20"/>
          <w:szCs w:val="20"/>
        </w:rPr>
        <w:t xml:space="preserve">•  T-Finance: split registry requires revalidation or regeneration against the corrected 1,804-anomaly canonical labels.</w:t>
      </w:r>
    </w:p>
    <w:p>
      <w:pPr>
        <w:spacing w:after="70"/>
        <w:ind w:left="260"/>
      </w:pPr>
      <w:r>
        <w:rPr>
          <w:rFonts w:ascii="Arial" w:cs="Arial" w:eastAsia="Arial" w:hAnsi="Arial"/>
          <w:sz w:val="20"/>
          <w:szCs w:val="20"/>
        </w:rPr>
        <w:t xml:space="preserve">•  Five datasets (YelpChi, Amazon, T-Social, Elliptic, FDCompCN): split files are registered but not independently rehashed in this audit cycle — rehashing is recommended before final benchmark runs.</w:t>
      </w:r>
    </w:p>
    <w:p>
      <w:pPr>
        <w:spacing w:after="70"/>
        <w:ind w:left="260"/>
      </w:pPr>
      <w:r>
        <w:rPr>
          <w:rFonts w:ascii="Arial" w:cs="Arial" w:eastAsia="Arial" w:hAnsi="Arial"/>
          <w:sz w:val="20"/>
          <w:szCs w:val="20"/>
        </w:rPr>
        <w:t xml:space="preserve">•  Independent peer verification of the full registry is required before any dataset is marked formally FROZEN under the project protocol.</w:t>
      </w:r>
    </w:p>
    <w:p>
      <w:pPr>
        <w:spacing w:after="140"/>
      </w:pPr>
      <w:r>
        <w:rPr>
          <w:rFonts w:ascii="Arial" w:cs="Arial" w:eastAsia="Arial" w:hAnsi="Arial"/>
          <w:i/>
          <w:iCs/>
          <w:color w:val="5F5E5A"/>
          <w:sz w:val="17"/>
          <w:szCs w:val="17"/>
        </w:rPr>
        <w:t xml:space="preserve">Dataset source identities and characteristics are now strongly verified. “FROZEN” is a separate governance status requiring split-file verification and independent sign-off, and has not yet been reached for any of the six datasets.</w:t>
      </w:r>
    </w:p>
    <w:p>
      <w:pPr>
        <w:spacing w:after="110" w:before="260"/>
      </w:pPr>
      <w:r>
        <w:rPr>
          <w:rFonts w:ascii="Arial" w:cs="Arial" w:eastAsia="Arial" w:hAnsi="Arial"/>
          <w:b/>
          <w:bCs/>
          <w:color w:val="7A1F3D"/>
          <w:sz w:val="24"/>
          <w:szCs w:val="24"/>
        </w:rPr>
        <w:t xml:space="preserve">11. Compact Provenance and Status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50"/>
        <w:gridCol w:w="3300"/>
        <w:gridCol w:w="2050"/>
        <w:gridCol w:w="2300"/>
      </w:tblGrid>
      <w:tr>
        <w:trPr>
          <w:tblHeader/>
        </w:trPr>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33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Canonical source</w:t>
            </w:r>
          </w:p>
        </w:tc>
        <w:tc>
          <w:tcPr>
            <w:tcW w:type="dxa" w:w="20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Source status</w:t>
            </w:r>
          </w:p>
        </w:tc>
        <w:tc>
          <w:tcPr>
            <w:tcW w:type="dxa" w:w="23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Split status</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33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DGL FraudYelp.zip → YelpChi.mat</w:t>
            </w:r>
          </w:p>
        </w:tc>
        <w:tc>
          <w:tcPr>
            <w:tcW w:type="dxa" w:w="20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Source verified</w:t>
            </w:r>
          </w:p>
        </w:tc>
        <w:tc>
          <w:tcPr>
            <w:tcW w:type="dxa" w:w="23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Split registered; not rehashed</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33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DGL FraudAmazon.zip → Amazon.mat</w:t>
            </w:r>
          </w:p>
        </w:tc>
        <w:tc>
          <w:tcPr>
            <w:tcW w:type="dxa" w:w="20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Source verified</w:t>
            </w:r>
          </w:p>
        </w:tc>
        <w:tc>
          <w:tcPr>
            <w:tcW w:type="dxa" w:w="23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Split registered; not rehashed</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T-Finance</w:t>
            </w:r>
          </w:p>
        </w:tc>
        <w:tc>
          <w:tcPr>
            <w:tcW w:type="dxa" w:w="33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Official author release (inner file: tfinance)</w:t>
            </w:r>
          </w:p>
        </w:tc>
        <w:tc>
          <w:tcPr>
            <w:tcW w:type="dxa" w:w="20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Source verified</w:t>
            </w:r>
          </w:p>
        </w:tc>
        <w:tc>
          <w:tcPr>
            <w:tcW w:type="dxa" w:w="23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Split revalidation pending (1,804-label fix)</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T-Social</w:t>
            </w:r>
          </w:p>
        </w:tc>
        <w:tc>
          <w:tcPr>
            <w:tcW w:type="dxa" w:w="33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Official author release (inner file: tsocial)</w:t>
            </w:r>
          </w:p>
        </w:tc>
        <w:tc>
          <w:tcPr>
            <w:tcW w:type="dxa" w:w="20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Source verified</w:t>
            </w:r>
          </w:p>
        </w:tc>
        <w:tc>
          <w:tcPr>
            <w:tcW w:type="dxa" w:w="23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Split registered; not rehashed</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Elliptic</w:t>
            </w:r>
          </w:p>
        </w:tc>
        <w:tc>
          <w:tcPr>
            <w:tcW w:type="dxa" w:w="33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Official source CSVs (features/classes/edges)</w:t>
            </w:r>
          </w:p>
        </w:tc>
        <w:tc>
          <w:tcPr>
            <w:tcW w:type="dxa" w:w="205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Source verified</w:t>
            </w:r>
          </w:p>
        </w:tc>
        <w:tc>
          <w:tcPr>
            <w:tcW w:type="dxa" w:w="23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Split registered; not rehashed</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33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Official processed release (comp.dgl)</w:t>
            </w:r>
          </w:p>
        </w:tc>
        <w:tc>
          <w:tcPr>
            <w:tcW w:type="dxa" w:w="205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Source verified</w:t>
            </w:r>
          </w:p>
        </w:tc>
        <w:tc>
          <w:tcPr>
            <w:tcW w:type="dxa" w:w="23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Split registered; not rehashed</w:t>
            </w:r>
          </w:p>
        </w:tc>
      </w:tr>
    </w:tbl>
    <w:p>
      <w:pPr>
        <w:spacing w:after="140"/>
      </w:pPr>
      <w:r>
        <w:rPr>
          <w:rFonts w:ascii="Arial" w:cs="Arial" w:eastAsia="Arial" w:hAnsi="Arial"/>
          <w:i/>
          <w:iCs/>
          <w:color w:val="5F5E5A"/>
          <w:sz w:val="17"/>
          <w:szCs w:val="17"/>
        </w:rPr>
        <w:t xml:space="preserve">Full source/view/split SHA256 values, calculation-script hashes, the complete environment specification, and the full 49-row Elliptic temporal table are retained in the underlying evidence archive rather than reproduced here. This table is a status summary, not a substitute for that archive.</w:t>
      </w:r>
    </w:p>
    <w:p>
      <w:pPr>
        <w:spacing w:after="110" w:before="260"/>
      </w:pPr>
      <w:r>
        <w:rPr>
          <w:rFonts w:ascii="Arial" w:cs="Arial" w:eastAsia="Arial" w:hAnsi="Arial"/>
          <w:b/>
          <w:bCs/>
          <w:color w:val="7A1F3D"/>
          <w:sz w:val="24"/>
          <w:szCs w:val="24"/>
        </w:rPr>
        <w:t xml:space="preserve">12. Author / Reference Split vs. Unified Treatment</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1150"/>
        <w:gridCol w:w="3600"/>
        <w:gridCol w:w="3800"/>
      </w:tblGrid>
      <w:tr>
        <w:trPr>
          <w:tblHeader/>
        </w:trPr>
        <w:tc>
          <w:tcPr>
            <w:tcW w:type="dxa" w:w="115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Dataset</w:t>
            </w:r>
          </w:p>
        </w:tc>
        <w:tc>
          <w:tcPr>
            <w:tcW w:type="dxa" w:w="36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Author / reference split</w:t>
            </w:r>
          </w:p>
        </w:tc>
        <w:tc>
          <w:tcPr>
            <w:tcW w:type="dxa" w:w="3800"/>
            <w:shd w:fill="7A1F3D" w:color="auto" w:val="clear"/>
            <w:tcMar>
              <w:top w:type="dxa" w:w="50"/>
              <w:left w:type="dxa" w:w="70"/>
              <w:bottom w:type="dxa" w:w="50"/>
              <w:right w:type="dxa" w:w="70"/>
            </w:tcMar>
          </w:tcPr>
          <w:p>
            <w:pPr>
              <w:spacing w:after="40"/>
            </w:pPr>
            <w:r>
              <w:rPr>
                <w:rFonts w:ascii="Arial" w:cs="Arial" w:eastAsia="Arial" w:hAnsi="Arial"/>
                <w:b/>
                <w:bCs/>
                <w:i w:val="false"/>
                <w:iCs w:val="false"/>
                <w:color w:val="FFFFFF"/>
                <w:sz w:val="16"/>
                <w:szCs w:val="16"/>
              </w:rPr>
              <w:t xml:space="preserve">Unified benchmark treatment</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YelpChi</w:t>
            </w:r>
          </w:p>
        </w:tc>
        <w:tc>
          <w:tcPr>
            <w:tcW w:type="dxa" w:w="36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Author reference: 40/0/60 random stratified</w:t>
            </w:r>
          </w:p>
        </w:tc>
        <w:tc>
          <w:tcPr>
            <w:tcW w:type="dxa" w:w="38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Unified: nested TR40/TR30/TR20/TR10 with fixed validation/test IDs</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Amazon</w:t>
            </w:r>
          </w:p>
        </w:tc>
        <w:tc>
          <w:tcPr>
            <w:tcW w:type="dxa" w:w="36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Author reference: 40/0/60 on labelled IDs only</w:t>
            </w:r>
          </w:p>
        </w:tc>
        <w:tc>
          <w:tcPr>
            <w:tcW w:type="dxa" w:w="38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Unified: nested splits apply only to the 8,639 eligible labelled IDs</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T-Finance</w:t>
            </w:r>
          </w:p>
        </w:tc>
        <w:tc>
          <w:tcPr>
            <w:tcW w:type="dxa" w:w="36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Author reference: runtime stratified split</w:t>
            </w:r>
          </w:p>
        </w:tc>
        <w:tc>
          <w:tcPr>
            <w:tcW w:type="dxa" w:w="38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Unified: nested static split — requires revalidation after the 1,804-label correction</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T-Social</w:t>
            </w:r>
          </w:p>
        </w:tc>
        <w:tc>
          <w:tcPr>
            <w:tcW w:type="dxa" w:w="36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Author reference: runtime stratified split</w:t>
            </w:r>
          </w:p>
        </w:tc>
        <w:tc>
          <w:tcPr>
            <w:tcW w:type="dxa" w:w="38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Unified: nested static split, no graph pruning</w:t>
            </w:r>
          </w:p>
        </w:tc>
      </w:tr>
      <w:tr>
        <w:trPr>
          <w:cantSplit/>
        </w:trPr>
        <w:tc>
          <w:tcPr>
            <w:tcW w:type="dxa" w:w="1150"/>
            <w:shd w:fill="FFFFFF"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Elliptic</w:t>
            </w:r>
          </w:p>
        </w:tc>
        <w:tc>
          <w:tcPr>
            <w:tcW w:type="dxa" w:w="36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Author reference: early steps train, later steps test</w:t>
            </w:r>
          </w:p>
        </w:tc>
        <w:tc>
          <w:tcPr>
            <w:tcW w:type="dxa" w:w="3800"/>
            <w:shd w:fill="FFFFFF"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Unified: later validation/test periods fixed; only earlier training availability varies</w:t>
            </w:r>
          </w:p>
        </w:tc>
      </w:tr>
      <w:tr>
        <w:trPr>
          <w:cantSplit/>
        </w:trPr>
        <w:tc>
          <w:tcPr>
            <w:tcW w:type="dxa" w:w="1150"/>
            <w:shd w:fill="F5F0F0" w:color="auto" w:val="clear"/>
            <w:tcMar>
              <w:top w:type="dxa" w:w="50"/>
              <w:left w:type="dxa" w:w="70"/>
              <w:bottom w:type="dxa" w:w="50"/>
              <w:right w:type="dxa" w:w="70"/>
            </w:tcMar>
          </w:tcPr>
          <w:p>
            <w:pPr>
              <w:spacing w:after="40"/>
            </w:pPr>
            <w:r>
              <w:rPr>
                <w:rFonts w:ascii="Arial" w:cs="Arial" w:eastAsia="Arial" w:hAnsi="Arial"/>
                <w:b/>
                <w:bCs/>
                <w:i w:val="false"/>
                <w:iCs w:val="false"/>
                <w:color w:val="202020"/>
                <w:sz w:val="16"/>
                <w:szCs w:val="16"/>
              </w:rPr>
              <w:t xml:space="preserve">FDCompCN</w:t>
            </w:r>
          </w:p>
        </w:tc>
        <w:tc>
          <w:tcPr>
            <w:tcW w:type="dxa" w:w="36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Author reference: random 40/20/40</w:t>
            </w:r>
          </w:p>
        </w:tc>
        <w:tc>
          <w:tcPr>
            <w:tcW w:type="dxa" w:w="3800"/>
            <w:shd w:fill="F5F0F0" w:color="auto" w:val="clear"/>
            <w:tcMar>
              <w:top w:type="dxa" w:w="50"/>
              <w:left w:type="dxa" w:w="70"/>
              <w:bottom w:type="dxa" w:w="50"/>
              <w:right w:type="dxa" w:w="70"/>
            </w:tcMar>
          </w:tcPr>
          <w:p>
            <w:pPr>
              <w:spacing w:after="40"/>
            </w:pPr>
            <w:r>
              <w:rPr>
                <w:rFonts w:ascii="Arial" w:cs="Arial" w:eastAsia="Arial" w:hAnsi="Arial"/>
                <w:b w:val="false"/>
                <w:bCs w:val="false"/>
                <w:i w:val="false"/>
                <w:iCs w:val="false"/>
                <w:color w:val="202020"/>
                <w:sz w:val="16"/>
                <w:szCs w:val="16"/>
              </w:rPr>
              <w:t xml:space="preserve">Unified: nested random-stratified IDs; relation-aware view preserved</w:t>
            </w:r>
          </w:p>
        </w:tc>
      </w:tr>
    </w:tbl>
    <w:p>
      <w:pPr>
        <w:spacing w:after="140"/>
      </w:pPr>
      <w:r>
        <w:rPr>
          <w:rFonts w:ascii="Arial" w:cs="Arial" w:eastAsia="Arial" w:hAnsi="Arial"/>
          <w:i/>
          <w:iCs/>
          <w:color w:val="5F5E5A"/>
          <w:sz w:val="17"/>
          <w:szCs w:val="17"/>
        </w:rPr>
        <w:t xml:space="preserve">Canonical dataset source, author-reported split, and the project's own unified split are kept as three distinct concepts throughout; results produced under one convention are not directly comparable to results produced under another.</w:t>
      </w:r>
    </w:p>
    <w:sectPr>
      <w:pgSz w:w="11906" w:h="16838" w:orient="landscape"/>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2026-09-15T05:32:15.896Z</dcterms:created>
  <dcterms:modified xsi:type="dcterms:W3CDTF">2026-09-15T05:32:15.896Z</dcterms:modified>
</cp:coreProperties>
</file>

<file path=docProps/custom.xml><?xml version="1.0" encoding="utf-8"?>
<Properties xmlns="http://schemas.openxmlformats.org/officeDocument/2006/custom-properties" xmlns:vt="http://schemas.openxmlformats.org/officeDocument/2006/docPropsVTypes"/>
</file>