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color w:val="111111"/>
        </w:rPr>
        <w:t>BWGNN Benchmark Findings — Six-Dataset Controlled Study</w:t>
      </w:r>
    </w:p>
    <w:p>
      <w:pPr>
        <w:spacing w:after="180"/>
      </w:pPr>
      <w:r>
        <w:rPr>
          <w:i/>
          <w:color w:val="666666"/>
          <w:sz w:val="19"/>
        </w:rPr>
        <w:t>COMP8851 Graph Fraud Benchmark | Prepared for supervisor discussion | 10 September 2026</w:t>
      </w:r>
    </w:p>
    <w:p>
      <w:r>
        <w:rPr>
          <w:b/>
        </w:rPr>
        <w:t xml:space="preserve">Scope. </w:t>
      </w:r>
      <w:r>
        <w:t>This report consolidates the executed BWGNN session notebooks and evidence packages for YelpChi, Amazon, T-Finance, T-Social, FDCompCN, and Elliptic. The compact cross-dataset presentation follows the comparison logic used by GADBench, but the columns are tailored to this single-model controlled study. Where an earlier layout/reference table differs from the executed experiment, the executed outputs and packaged evidence take precedence.</w:t>
      </w:r>
    </w:p>
    <w:p>
      <w:pPr>
        <w:pStyle w:val="Heading1"/>
      </w:pPr>
      <w:r>
        <w:t>Executive findings</w:t>
      </w:r>
    </w:p>
    <w:p>
      <w:pPr>
        <w:pStyle w:val="ListBullet"/>
        <w:spacing w:after="40"/>
      </w:pPr>
      <w:r>
        <w:t>Five datasets produced complete unified performance grids (TR40/TR30/TR20/TR10 × seeds 2/42/72); T-Social was documented as full-graph infeasible on the controlled Tesla T4 rather than altered by sampling or graph reduction.</w:t>
      </w:r>
    </w:p>
    <w:p>
      <w:pPr>
        <w:pStyle w:val="ListBullet"/>
        <w:spacing w:after="40"/>
      </w:pPr>
      <w:r>
        <w:t>Amazon is the strongest and most stable completed dataset for BWGNN in this study: TR40 AUPRC 0.887772 ± 0.014411 and AUROC 0.975916 ± 0.009033.</w:t>
      </w:r>
    </w:p>
    <w:p>
      <w:pPr>
        <w:pStyle w:val="ListBullet"/>
        <w:spacing w:after="40"/>
      </w:pPr>
      <w:r>
        <w:t>T-Finance also reaches high effectiveness but shows substantial seed variation at several ratios; its non-monotonic results should be reported as observed rather than interpreted as evidence that fewer labels are intrinsically better.</w:t>
      </w:r>
    </w:p>
    <w:p>
      <w:pPr>
        <w:pStyle w:val="ListBullet"/>
        <w:spacing w:after="40"/>
      </w:pPr>
      <w:r>
        <w:t>YelpChi shows a clear reduction in AUPRC as labelled training availability falls from TR40 to TR10.</w:t>
      </w:r>
    </w:p>
    <w:p>
      <w:pPr>
        <w:pStyle w:val="ListBullet"/>
        <w:spacing w:after="40"/>
      </w:pPr>
      <w:r>
        <w:t>FDCompCN is computationally light but has the weakest detection effectiveness; its TR40 AUPRC is 0.159385 ± 0.001012 and fraud recall is 0.102679 ± 0.020458.</w:t>
      </w:r>
    </w:p>
    <w:p>
      <w:pPr>
        <w:pStyle w:val="ListBullet"/>
        <w:spacing w:after="40"/>
      </w:pPr>
      <w:r>
        <w:t>Elliptic remains temporally leakage-safe. TR30 has the highest mean AUPRC (0.413472) but very large seed variation (± 0.143492), so it is not treated as a definitive improvement over TR40.</w:t>
      </w:r>
    </w:p>
    <w:p>
      <w:pPr>
        <w:pStyle w:val="Heading1"/>
      </w:pPr>
      <w:r>
        <w:t>1. Dataset scale, labels, and execution status</w:t>
      </w:r>
    </w:p>
    <w:tbl>
      <w:tblPr>
        <w:tblW w:type="auto" w:w="0"/>
        <w:jc w:val="center"/>
        <w:tblLayout w:type="fixed"/>
        <w:tblLook w:firstColumn="1" w:firstRow="1" w:lastColumn="0" w:lastRow="0" w:noHBand="0" w:noVBand="1" w:val="04A0"/>
        <w:tblBorders>
          <w:top w:val="single" w:sz="4" w:color="555555"/>
          <w:left w:val="single" w:sz="4" w:color="555555"/>
          <w:bottom w:val="single" w:sz="4" w:color="555555"/>
          <w:right w:val="single" w:sz="4" w:color="555555"/>
          <w:insideH w:val="single" w:sz="4" w:color="555555"/>
          <w:insideV w:val="single" w:sz="4" w:color="555555"/>
        </w:tblBorders>
      </w:tblPr>
      <w:tblGrid>
        <w:gridCol w:w="1315"/>
        <w:gridCol w:w="1315"/>
        <w:gridCol w:w="1315"/>
        <w:gridCol w:w="1315"/>
        <w:gridCol w:w="1315"/>
        <w:gridCol w:w="1315"/>
        <w:gridCol w:w="1315"/>
        <w:gridCol w:w="1315"/>
      </w:tblGrid>
      <w:tr>
        <w:trPr>
          <w:tblHeader w:val="true"/>
        </w:trPr>
        <w:tc>
          <w:tcPr>
            <w:tcW w:type="dxa" w:w="1315"/>
            <w:shd w:fill="7A1F3D"/>
            <w:vAlign w:val="center"/>
            <w:tcMar>
              <w:top w:w="45" w:type="dxa"/>
              <w:start w:w="55" w:type="dxa"/>
              <w:bottom w:w="45" w:type="dxa"/>
              <w:end w:w="55" w:type="dxa"/>
            </w:tcMar>
          </w:tcPr>
          <w:p>
            <w:pPr>
              <w:spacing w:after="0"/>
            </w:pPr>
            <w:r>
              <w:rPr>
                <w:rFonts w:ascii="Arial" w:hAnsi="Arial"/>
                <w:b/>
                <w:color w:val="FFFFFF"/>
                <w:sz w:val="14"/>
              </w:rPr>
              <w:t>Dataset</w:t>
            </w:r>
          </w:p>
        </w:tc>
        <w:tc>
          <w:tcPr>
            <w:tcW w:type="dxa" w:w="1315"/>
            <w:shd w:fill="7A1F3D"/>
            <w:vAlign w:val="center"/>
            <w:tcMar>
              <w:top w:w="45" w:type="dxa"/>
              <w:start w:w="55" w:type="dxa"/>
              <w:bottom w:w="45" w:type="dxa"/>
              <w:end w:w="55" w:type="dxa"/>
            </w:tcMar>
          </w:tcPr>
          <w:p>
            <w:pPr>
              <w:spacing w:after="0"/>
            </w:pPr>
            <w:r>
              <w:rPr>
                <w:rFonts w:ascii="Arial" w:hAnsi="Arial"/>
                <w:b/>
                <w:color w:val="FFFFFF"/>
                <w:sz w:val="14"/>
              </w:rPr>
              <w:t>Task / domain</w:t>
            </w:r>
          </w:p>
        </w:tc>
        <w:tc>
          <w:tcPr>
            <w:tcW w:type="dxa" w:w="1315"/>
            <w:shd w:fill="7A1F3D"/>
            <w:vAlign w:val="center"/>
            <w:tcMar>
              <w:top w:w="45" w:type="dxa"/>
              <w:start w:w="55" w:type="dxa"/>
              <w:bottom w:w="45" w:type="dxa"/>
              <w:end w:w="55" w:type="dxa"/>
            </w:tcMar>
          </w:tcPr>
          <w:p>
            <w:pPr>
              <w:spacing w:after="0"/>
            </w:pPr>
            <w:r>
              <w:rPr>
                <w:rFonts w:ascii="Arial" w:hAnsi="Arial"/>
                <w:b/>
                <w:color w:val="FFFFFF"/>
                <w:sz w:val="14"/>
              </w:rPr>
              <w:t>Nodes</w:t>
            </w:r>
          </w:p>
        </w:tc>
        <w:tc>
          <w:tcPr>
            <w:tcW w:type="dxa" w:w="1315"/>
            <w:shd w:fill="7A1F3D"/>
            <w:vAlign w:val="center"/>
            <w:tcMar>
              <w:top w:w="45" w:type="dxa"/>
              <w:start w:w="55" w:type="dxa"/>
              <w:bottom w:w="45" w:type="dxa"/>
              <w:end w:w="55" w:type="dxa"/>
            </w:tcMar>
          </w:tcPr>
          <w:p>
            <w:pPr>
              <w:spacing w:after="0"/>
            </w:pPr>
            <w:r>
              <w:rPr>
                <w:rFonts w:ascii="Arial" w:hAnsi="Arial"/>
                <w:b/>
                <w:color w:val="FFFFFF"/>
                <w:sz w:val="14"/>
              </w:rPr>
              <w:t>Edges</w:t>
            </w:r>
          </w:p>
        </w:tc>
        <w:tc>
          <w:tcPr>
            <w:tcW w:type="dxa" w:w="1315"/>
            <w:shd w:fill="7A1F3D"/>
            <w:vAlign w:val="center"/>
            <w:tcMar>
              <w:top w:w="45" w:type="dxa"/>
              <w:start w:w="55" w:type="dxa"/>
              <w:bottom w:w="45" w:type="dxa"/>
              <w:end w:w="55" w:type="dxa"/>
            </w:tcMar>
          </w:tcPr>
          <w:p>
            <w:pPr>
              <w:spacing w:after="0"/>
            </w:pPr>
            <w:r>
              <w:rPr>
                <w:rFonts w:ascii="Arial" w:hAnsi="Arial"/>
                <w:b/>
                <w:color w:val="FFFFFF"/>
                <w:sz w:val="14"/>
              </w:rPr>
              <w:t>Features</w:t>
            </w:r>
          </w:p>
        </w:tc>
        <w:tc>
          <w:tcPr>
            <w:tcW w:type="dxa" w:w="1315"/>
            <w:shd w:fill="7A1F3D"/>
            <w:vAlign w:val="center"/>
            <w:tcMar>
              <w:top w:w="45" w:type="dxa"/>
              <w:start w:w="55" w:type="dxa"/>
              <w:bottom w:w="45" w:type="dxa"/>
              <w:end w:w="55" w:type="dxa"/>
            </w:tcMar>
          </w:tcPr>
          <w:p>
            <w:pPr>
              <w:spacing w:after="0"/>
            </w:pPr>
            <w:r>
              <w:rPr>
                <w:rFonts w:ascii="Arial" w:hAnsi="Arial"/>
                <w:b/>
                <w:color w:val="FFFFFF"/>
                <w:sz w:val="14"/>
              </w:rPr>
              <w:t>Fraud / normal</w:t>
            </w:r>
          </w:p>
        </w:tc>
        <w:tc>
          <w:tcPr>
            <w:tcW w:type="dxa" w:w="1315"/>
            <w:shd w:fill="7A1F3D"/>
            <w:vAlign w:val="center"/>
            <w:tcMar>
              <w:top w:w="45" w:type="dxa"/>
              <w:start w:w="55" w:type="dxa"/>
              <w:bottom w:w="45" w:type="dxa"/>
              <w:end w:w="55" w:type="dxa"/>
            </w:tcMar>
          </w:tcPr>
          <w:p>
            <w:pPr>
              <w:spacing w:after="0"/>
            </w:pPr>
            <w:r>
              <w:rPr>
                <w:rFonts w:ascii="Arial" w:hAnsi="Arial"/>
                <w:b/>
                <w:color w:val="FFFFFF"/>
                <w:sz w:val="14"/>
              </w:rPr>
              <w:t>Fraud %</w:t>
            </w:r>
          </w:p>
        </w:tc>
        <w:tc>
          <w:tcPr>
            <w:tcW w:type="dxa" w:w="1315"/>
            <w:shd w:fill="7A1F3D"/>
            <w:vAlign w:val="center"/>
            <w:tcMar>
              <w:top w:w="45" w:type="dxa"/>
              <w:start w:w="55" w:type="dxa"/>
              <w:bottom w:w="45" w:type="dxa"/>
              <w:end w:w="55" w:type="dxa"/>
            </w:tcMar>
          </w:tcPr>
          <w:p>
            <w:pPr>
              <w:spacing w:after="0"/>
            </w:pPr>
            <w:r>
              <w:rPr>
                <w:rFonts w:ascii="Arial" w:hAnsi="Arial"/>
                <w:b/>
                <w:color w:val="FFFFFF"/>
                <w:sz w:val="14"/>
              </w:rPr>
              <w:t>BWGNN outcome</w:t>
            </w:r>
          </w:p>
        </w:tc>
      </w:tr>
      <w:tr>
        <w:trPr>
          <w:cantSplit/>
        </w:trPr>
        <w:tc>
          <w:tcPr>
            <w:tcW w:type="dxa" w:w="1315"/>
            <w:vAlign w:val="top"/>
            <w:tcMar>
              <w:top w:w="45" w:type="dxa"/>
              <w:start w:w="55" w:type="dxa"/>
              <w:bottom w:w="45" w:type="dxa"/>
              <w:end w:w="55" w:type="dxa"/>
            </w:tcMar>
          </w:tcPr>
          <w:p>
            <w:pPr>
              <w:spacing w:after="0" w:line="240" w:lineRule="auto"/>
            </w:pPr>
            <w:r>
              <w:rPr>
                <w:rFonts w:ascii="Arial" w:hAnsi="Arial"/>
                <w:b/>
                <w:sz w:val="14"/>
              </w:rPr>
              <w:t>YelpChi</w:t>
            </w:r>
          </w:p>
        </w:tc>
        <w:tc>
          <w:tcPr>
            <w:tcW w:type="dxa" w:w="1315"/>
            <w:vAlign w:val="top"/>
            <w:tcMar>
              <w:top w:w="45" w:type="dxa"/>
              <w:start w:w="55" w:type="dxa"/>
              <w:bottom w:w="45" w:type="dxa"/>
              <w:end w:w="55" w:type="dxa"/>
            </w:tcMar>
          </w:tcPr>
          <w:p>
            <w:pPr>
              <w:spacing w:after="0" w:line="240" w:lineRule="auto"/>
            </w:pPr>
            <w:r>
              <w:rPr>
                <w:rFonts w:ascii="Arial" w:hAnsi="Arial"/>
                <w:sz w:val="14"/>
              </w:rPr>
              <w:t>Online review spam</w:t>
            </w:r>
          </w:p>
        </w:tc>
        <w:tc>
          <w:tcPr>
            <w:tcW w:type="dxa" w:w="1315"/>
            <w:vAlign w:val="top"/>
            <w:tcMar>
              <w:top w:w="45" w:type="dxa"/>
              <w:start w:w="55" w:type="dxa"/>
              <w:bottom w:w="45" w:type="dxa"/>
              <w:end w:w="55" w:type="dxa"/>
            </w:tcMar>
          </w:tcPr>
          <w:p>
            <w:pPr>
              <w:spacing w:after="0" w:line="240" w:lineRule="auto"/>
            </w:pPr>
            <w:r>
              <w:rPr>
                <w:rFonts w:ascii="Arial" w:hAnsi="Arial"/>
                <w:sz w:val="14"/>
              </w:rPr>
              <w:t>45,954</w:t>
            </w:r>
          </w:p>
        </w:tc>
        <w:tc>
          <w:tcPr>
            <w:tcW w:type="dxa" w:w="1315"/>
            <w:vAlign w:val="top"/>
            <w:tcMar>
              <w:top w:w="45" w:type="dxa"/>
              <w:start w:w="55" w:type="dxa"/>
              <w:bottom w:w="45" w:type="dxa"/>
              <w:end w:w="55" w:type="dxa"/>
            </w:tcMar>
          </w:tcPr>
          <w:p>
            <w:pPr>
              <w:spacing w:after="0" w:line="240" w:lineRule="auto"/>
            </w:pPr>
            <w:r>
              <w:rPr>
                <w:rFonts w:ascii="Arial" w:hAnsi="Arial"/>
                <w:sz w:val="14"/>
              </w:rPr>
              <w:t>3,846,979 ref.</w:t>
            </w:r>
          </w:p>
        </w:tc>
        <w:tc>
          <w:tcPr>
            <w:tcW w:type="dxa" w:w="1315"/>
            <w:vAlign w:val="top"/>
            <w:tcMar>
              <w:top w:w="45" w:type="dxa"/>
              <w:start w:w="55" w:type="dxa"/>
              <w:bottom w:w="45" w:type="dxa"/>
              <w:end w:w="55" w:type="dxa"/>
            </w:tcMar>
          </w:tcPr>
          <w:p>
            <w:pPr>
              <w:spacing w:after="0" w:line="240" w:lineRule="auto"/>
            </w:pPr>
            <w:r>
              <w:rPr>
                <w:rFonts w:ascii="Arial" w:hAnsi="Arial"/>
                <w:sz w:val="14"/>
              </w:rPr>
              <w:t>32</w:t>
            </w:r>
          </w:p>
        </w:tc>
        <w:tc>
          <w:tcPr>
            <w:tcW w:type="dxa" w:w="1315"/>
            <w:vAlign w:val="top"/>
            <w:tcMar>
              <w:top w:w="45" w:type="dxa"/>
              <w:start w:w="55" w:type="dxa"/>
              <w:bottom w:w="45" w:type="dxa"/>
              <w:end w:w="55" w:type="dxa"/>
            </w:tcMar>
          </w:tcPr>
          <w:p>
            <w:pPr>
              <w:spacing w:after="0" w:line="240" w:lineRule="auto"/>
            </w:pPr>
            <w:r>
              <w:rPr>
                <w:rFonts w:ascii="Arial" w:hAnsi="Arial"/>
                <w:sz w:val="14"/>
              </w:rPr>
              <w:t>6,677 / 39,277</w:t>
            </w:r>
          </w:p>
        </w:tc>
        <w:tc>
          <w:tcPr>
            <w:tcW w:type="dxa" w:w="1315"/>
            <w:vAlign w:val="top"/>
            <w:tcMar>
              <w:top w:w="45" w:type="dxa"/>
              <w:start w:w="55" w:type="dxa"/>
              <w:bottom w:w="45" w:type="dxa"/>
              <w:end w:w="55" w:type="dxa"/>
            </w:tcMar>
          </w:tcPr>
          <w:p>
            <w:pPr>
              <w:spacing w:after="0" w:line="240" w:lineRule="auto"/>
            </w:pPr>
            <w:r>
              <w:rPr>
                <w:rFonts w:ascii="Arial" w:hAnsi="Arial"/>
                <w:sz w:val="14"/>
              </w:rPr>
              <w:t>14.53%</w:t>
            </w:r>
          </w:p>
        </w:tc>
        <w:tc>
          <w:tcPr>
            <w:tcW w:type="dxa" w:w="1315"/>
            <w:vAlign w:val="top"/>
            <w:tcMar>
              <w:top w:w="45" w:type="dxa"/>
              <w:start w:w="55" w:type="dxa"/>
              <w:bottom w:w="45" w:type="dxa"/>
              <w:end w:w="55" w:type="dxa"/>
            </w:tcMar>
          </w:tcPr>
          <w:p>
            <w:pPr>
              <w:spacing w:after="0" w:line="240" w:lineRule="auto"/>
            </w:pPr>
            <w:r>
              <w:rPr>
                <w:rFonts w:ascii="Arial" w:hAnsi="Arial"/>
                <w:sz w:val="14"/>
              </w:rPr>
              <w:t>Native; unified complete</w:t>
            </w:r>
          </w:p>
        </w:tc>
      </w:tr>
      <w:tr>
        <w:trPr>
          <w:cantSplit/>
        </w:trPr>
        <w:tc>
          <w:tcPr>
            <w:tcW w:type="dxa" w:w="1315"/>
            <w:vAlign w:val="top"/>
            <w:tcMar>
              <w:top w:w="45" w:type="dxa"/>
              <w:start w:w="55" w:type="dxa"/>
              <w:bottom w:w="45" w:type="dxa"/>
              <w:end w:w="55" w:type="dxa"/>
            </w:tcMar>
            <w:shd w:fill="F3EDEE"/>
          </w:tcPr>
          <w:p>
            <w:pPr>
              <w:spacing w:after="0" w:line="240" w:lineRule="auto"/>
            </w:pPr>
            <w:r>
              <w:rPr>
                <w:rFonts w:ascii="Arial" w:hAnsi="Arial"/>
                <w:b/>
                <w:sz w:val="14"/>
              </w:rPr>
              <w:t>Amazon</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Product-review user fraud</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11,944 total</w:t>
              <w:br/>
              <w:t>8,639 supervised</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4,398,392 ref.</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25</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821 / 7,818</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9.50% of labelled</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Native; unified complete</w:t>
            </w:r>
          </w:p>
        </w:tc>
      </w:tr>
      <w:tr>
        <w:trPr>
          <w:cantSplit/>
        </w:trPr>
        <w:tc>
          <w:tcPr>
            <w:tcW w:type="dxa" w:w="1315"/>
            <w:vAlign w:val="top"/>
            <w:tcMar>
              <w:top w:w="45" w:type="dxa"/>
              <w:start w:w="55" w:type="dxa"/>
              <w:bottom w:w="45" w:type="dxa"/>
              <w:end w:w="55" w:type="dxa"/>
            </w:tcMar>
          </w:tcPr>
          <w:p>
            <w:pPr>
              <w:spacing w:after="0" w:line="240" w:lineRule="auto"/>
            </w:pPr>
            <w:r>
              <w:rPr>
                <w:rFonts w:ascii="Arial" w:hAnsi="Arial"/>
                <w:b/>
                <w:sz w:val="14"/>
              </w:rPr>
              <w:t>T-Finance</w:t>
            </w:r>
          </w:p>
        </w:tc>
        <w:tc>
          <w:tcPr>
            <w:tcW w:type="dxa" w:w="1315"/>
            <w:vAlign w:val="top"/>
            <w:tcMar>
              <w:top w:w="45" w:type="dxa"/>
              <w:start w:w="55" w:type="dxa"/>
              <w:bottom w:w="45" w:type="dxa"/>
              <w:end w:w="55" w:type="dxa"/>
            </w:tcMar>
          </w:tcPr>
          <w:p>
            <w:pPr>
              <w:spacing w:after="0" w:line="240" w:lineRule="auto"/>
            </w:pPr>
            <w:r>
              <w:rPr>
                <w:rFonts w:ascii="Arial" w:hAnsi="Arial"/>
                <w:sz w:val="14"/>
              </w:rPr>
              <w:t>Financial account anomaly</w:t>
            </w:r>
          </w:p>
        </w:tc>
        <w:tc>
          <w:tcPr>
            <w:tcW w:type="dxa" w:w="1315"/>
            <w:vAlign w:val="top"/>
            <w:tcMar>
              <w:top w:w="45" w:type="dxa"/>
              <w:start w:w="55" w:type="dxa"/>
              <w:bottom w:w="45" w:type="dxa"/>
              <w:end w:w="55" w:type="dxa"/>
            </w:tcMar>
          </w:tcPr>
          <w:p>
            <w:pPr>
              <w:spacing w:after="0" w:line="240" w:lineRule="auto"/>
            </w:pPr>
            <w:r>
              <w:rPr>
                <w:rFonts w:ascii="Arial" w:hAnsi="Arial"/>
                <w:sz w:val="14"/>
              </w:rPr>
              <w:t>39,357</w:t>
            </w:r>
          </w:p>
        </w:tc>
        <w:tc>
          <w:tcPr>
            <w:tcW w:type="dxa" w:w="1315"/>
            <w:vAlign w:val="top"/>
            <w:tcMar>
              <w:top w:w="45" w:type="dxa"/>
              <w:start w:w="55" w:type="dxa"/>
              <w:bottom w:w="45" w:type="dxa"/>
              <w:end w:w="55" w:type="dxa"/>
            </w:tcMar>
          </w:tcPr>
          <w:p>
            <w:pPr>
              <w:spacing w:after="0" w:line="240" w:lineRule="auto"/>
            </w:pPr>
            <w:r>
              <w:rPr>
                <w:rFonts w:ascii="Arial" w:hAnsi="Arial"/>
                <w:sz w:val="14"/>
              </w:rPr>
              <w:t>21,222,543 ref.</w:t>
              <w:br/>
              <w:t>42,445,086 stored</w:t>
            </w:r>
          </w:p>
        </w:tc>
        <w:tc>
          <w:tcPr>
            <w:tcW w:type="dxa" w:w="1315"/>
            <w:vAlign w:val="top"/>
            <w:tcMar>
              <w:top w:w="45" w:type="dxa"/>
              <w:start w:w="55" w:type="dxa"/>
              <w:bottom w:w="45" w:type="dxa"/>
              <w:end w:w="55" w:type="dxa"/>
            </w:tcMar>
          </w:tcPr>
          <w:p>
            <w:pPr>
              <w:spacing w:after="0" w:line="240" w:lineRule="auto"/>
            </w:pPr>
            <w:r>
              <w:rPr>
                <w:rFonts w:ascii="Arial" w:hAnsi="Arial"/>
                <w:sz w:val="14"/>
              </w:rPr>
              <w:t>10</w:t>
            </w:r>
          </w:p>
        </w:tc>
        <w:tc>
          <w:tcPr>
            <w:tcW w:type="dxa" w:w="1315"/>
            <w:vAlign w:val="top"/>
            <w:tcMar>
              <w:top w:w="45" w:type="dxa"/>
              <w:start w:w="55" w:type="dxa"/>
              <w:bottom w:w="45" w:type="dxa"/>
              <w:end w:w="55" w:type="dxa"/>
            </w:tcMar>
          </w:tcPr>
          <w:p>
            <w:pPr>
              <w:spacing w:after="0" w:line="240" w:lineRule="auto"/>
            </w:pPr>
            <w:r>
              <w:rPr>
                <w:rFonts w:ascii="Arial" w:hAnsi="Arial"/>
                <w:sz w:val="14"/>
              </w:rPr>
              <w:t>1,804 / 37,553</w:t>
            </w:r>
          </w:p>
        </w:tc>
        <w:tc>
          <w:tcPr>
            <w:tcW w:type="dxa" w:w="1315"/>
            <w:vAlign w:val="top"/>
            <w:tcMar>
              <w:top w:w="45" w:type="dxa"/>
              <w:start w:w="55" w:type="dxa"/>
              <w:bottom w:w="45" w:type="dxa"/>
              <w:end w:w="55" w:type="dxa"/>
            </w:tcMar>
          </w:tcPr>
          <w:p>
            <w:pPr>
              <w:spacing w:after="0" w:line="240" w:lineRule="auto"/>
            </w:pPr>
            <w:r>
              <w:rPr>
                <w:rFonts w:ascii="Arial" w:hAnsi="Arial"/>
                <w:sz w:val="14"/>
              </w:rPr>
              <w:t>4.58%</w:t>
            </w:r>
          </w:p>
        </w:tc>
        <w:tc>
          <w:tcPr>
            <w:tcW w:type="dxa" w:w="1315"/>
            <w:vAlign w:val="top"/>
            <w:tcMar>
              <w:top w:w="45" w:type="dxa"/>
              <w:start w:w="55" w:type="dxa"/>
              <w:bottom w:w="45" w:type="dxa"/>
              <w:end w:w="55" w:type="dxa"/>
            </w:tcMar>
          </w:tcPr>
          <w:p>
            <w:pPr>
              <w:spacing w:after="0" w:line="240" w:lineRule="auto"/>
            </w:pPr>
            <w:r>
              <w:rPr>
                <w:rFonts w:ascii="Arial" w:hAnsi="Arial"/>
                <w:sz w:val="14"/>
              </w:rPr>
              <w:t>Native; unified complete</w:t>
            </w:r>
          </w:p>
        </w:tc>
      </w:tr>
      <w:tr>
        <w:trPr>
          <w:cantSplit/>
        </w:trPr>
        <w:tc>
          <w:tcPr>
            <w:tcW w:type="dxa" w:w="1315"/>
            <w:vAlign w:val="top"/>
            <w:tcMar>
              <w:top w:w="45" w:type="dxa"/>
              <w:start w:w="55" w:type="dxa"/>
              <w:bottom w:w="45" w:type="dxa"/>
              <w:end w:w="55" w:type="dxa"/>
            </w:tcMar>
            <w:shd w:fill="F3EDEE"/>
          </w:tcPr>
          <w:p>
            <w:pPr>
              <w:spacing w:after="0" w:line="240" w:lineRule="auto"/>
            </w:pPr>
            <w:r>
              <w:rPr>
                <w:rFonts w:ascii="Arial" w:hAnsi="Arial"/>
                <w:b/>
                <w:sz w:val="14"/>
              </w:rPr>
              <w:t>T-Social</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Social-network anomalous accounts</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5,781,065</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73,105,508 ref.</w:t>
              <w:br/>
              <w:t>146,211,016 stored</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10</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174,280 / 5,606,785</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3.01%</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Native; full-graph T4 infeasible</w:t>
            </w:r>
          </w:p>
        </w:tc>
      </w:tr>
      <w:tr>
        <w:trPr>
          <w:cantSplit/>
        </w:trPr>
        <w:tc>
          <w:tcPr>
            <w:tcW w:type="dxa" w:w="1315"/>
            <w:vAlign w:val="top"/>
            <w:tcMar>
              <w:top w:w="45" w:type="dxa"/>
              <w:start w:w="55" w:type="dxa"/>
              <w:bottom w:w="45" w:type="dxa"/>
              <w:end w:w="55" w:type="dxa"/>
            </w:tcMar>
          </w:tcPr>
          <w:p>
            <w:pPr>
              <w:spacing w:after="0" w:line="240" w:lineRule="auto"/>
            </w:pPr>
            <w:r>
              <w:rPr>
                <w:rFonts w:ascii="Arial" w:hAnsi="Arial"/>
                <w:b/>
                <w:sz w:val="14"/>
              </w:rPr>
              <w:t>FDCompCN</w:t>
            </w:r>
          </w:p>
        </w:tc>
        <w:tc>
          <w:tcPr>
            <w:tcW w:type="dxa" w:w="1315"/>
            <w:vAlign w:val="top"/>
            <w:tcMar>
              <w:top w:w="45" w:type="dxa"/>
              <w:start w:w="55" w:type="dxa"/>
              <w:bottom w:w="45" w:type="dxa"/>
              <w:end w:w="55" w:type="dxa"/>
            </w:tcMar>
          </w:tcPr>
          <w:p>
            <w:pPr>
              <w:spacing w:after="0" w:line="240" w:lineRule="auto"/>
            </w:pPr>
            <w:r>
              <w:rPr>
                <w:rFonts w:ascii="Arial" w:hAnsi="Arial"/>
                <w:sz w:val="14"/>
              </w:rPr>
              <w:t>Company fraud / risk network</w:t>
            </w:r>
          </w:p>
        </w:tc>
        <w:tc>
          <w:tcPr>
            <w:tcW w:type="dxa" w:w="1315"/>
            <w:vAlign w:val="top"/>
            <w:tcMar>
              <w:top w:w="45" w:type="dxa"/>
              <w:start w:w="55" w:type="dxa"/>
              <w:bottom w:w="45" w:type="dxa"/>
              <w:end w:w="55" w:type="dxa"/>
            </w:tcMar>
          </w:tcPr>
          <w:p>
            <w:pPr>
              <w:spacing w:after="0" w:line="240" w:lineRule="auto"/>
            </w:pPr>
            <w:r>
              <w:rPr>
                <w:rFonts w:ascii="Arial" w:hAnsi="Arial"/>
                <w:sz w:val="14"/>
              </w:rPr>
              <w:t>5,317</w:t>
            </w:r>
          </w:p>
        </w:tc>
        <w:tc>
          <w:tcPr>
            <w:tcW w:type="dxa" w:w="1315"/>
            <w:vAlign w:val="top"/>
            <w:tcMar>
              <w:top w:w="45" w:type="dxa"/>
              <w:start w:w="55" w:type="dxa"/>
              <w:bottom w:w="45" w:type="dxa"/>
              <w:end w:w="55" w:type="dxa"/>
            </w:tcMar>
          </w:tcPr>
          <w:p>
            <w:pPr>
              <w:spacing w:after="0" w:line="240" w:lineRule="auto"/>
            </w:pPr>
            <w:r>
              <w:rPr>
                <w:rFonts w:ascii="Arial" w:hAnsi="Arial"/>
                <w:sz w:val="14"/>
              </w:rPr>
              <w:t>30,752 source</w:t>
              <w:br/>
              <w:t>36,069 with self-loops</w:t>
            </w:r>
          </w:p>
        </w:tc>
        <w:tc>
          <w:tcPr>
            <w:tcW w:type="dxa" w:w="1315"/>
            <w:vAlign w:val="top"/>
            <w:tcMar>
              <w:top w:w="45" w:type="dxa"/>
              <w:start w:w="55" w:type="dxa"/>
              <w:bottom w:w="45" w:type="dxa"/>
              <w:end w:w="55" w:type="dxa"/>
            </w:tcMar>
          </w:tcPr>
          <w:p>
            <w:pPr>
              <w:spacing w:after="0" w:line="240" w:lineRule="auto"/>
            </w:pPr>
            <w:r>
              <w:rPr>
                <w:rFonts w:ascii="Arial" w:hAnsi="Arial"/>
                <w:sz w:val="14"/>
              </w:rPr>
              <w:t>57</w:t>
            </w:r>
          </w:p>
        </w:tc>
        <w:tc>
          <w:tcPr>
            <w:tcW w:type="dxa" w:w="1315"/>
            <w:vAlign w:val="top"/>
            <w:tcMar>
              <w:top w:w="45" w:type="dxa"/>
              <w:start w:w="55" w:type="dxa"/>
              <w:bottom w:w="45" w:type="dxa"/>
              <w:end w:w="55" w:type="dxa"/>
            </w:tcMar>
          </w:tcPr>
          <w:p>
            <w:pPr>
              <w:spacing w:after="0" w:line="240" w:lineRule="auto"/>
            </w:pPr>
            <w:r>
              <w:rPr>
                <w:rFonts w:ascii="Arial" w:hAnsi="Arial"/>
                <w:sz w:val="14"/>
              </w:rPr>
              <w:t>559 / 4,758</w:t>
            </w:r>
          </w:p>
        </w:tc>
        <w:tc>
          <w:tcPr>
            <w:tcW w:type="dxa" w:w="1315"/>
            <w:vAlign w:val="top"/>
            <w:tcMar>
              <w:top w:w="45" w:type="dxa"/>
              <w:start w:w="55" w:type="dxa"/>
              <w:bottom w:w="45" w:type="dxa"/>
              <w:end w:w="55" w:type="dxa"/>
            </w:tcMar>
          </w:tcPr>
          <w:p>
            <w:pPr>
              <w:spacing w:after="0" w:line="240" w:lineRule="auto"/>
            </w:pPr>
            <w:r>
              <w:rPr>
                <w:rFonts w:ascii="Arial" w:hAnsi="Arial"/>
                <w:sz w:val="14"/>
              </w:rPr>
              <w:t>10.51%</w:t>
            </w:r>
          </w:p>
        </w:tc>
        <w:tc>
          <w:tcPr>
            <w:tcW w:type="dxa" w:w="1315"/>
            <w:vAlign w:val="top"/>
            <w:tcMar>
              <w:top w:w="45" w:type="dxa"/>
              <w:start w:w="55" w:type="dxa"/>
              <w:bottom w:w="45" w:type="dxa"/>
              <w:end w:w="55" w:type="dxa"/>
            </w:tcMar>
          </w:tcPr>
          <w:p>
            <w:pPr>
              <w:spacing w:after="0" w:line="240" w:lineRule="auto"/>
            </w:pPr>
            <w:r>
              <w:rPr>
                <w:rFonts w:ascii="Arial" w:hAnsi="Arial"/>
                <w:sz w:val="14"/>
              </w:rPr>
              <w:t>Input adapter; unified complete</w:t>
            </w:r>
          </w:p>
        </w:tc>
      </w:tr>
      <w:tr>
        <w:trPr>
          <w:cantSplit/>
        </w:trPr>
        <w:tc>
          <w:tcPr>
            <w:tcW w:type="dxa" w:w="1315"/>
            <w:vAlign w:val="top"/>
            <w:tcMar>
              <w:top w:w="45" w:type="dxa"/>
              <w:start w:w="55" w:type="dxa"/>
              <w:bottom w:w="45" w:type="dxa"/>
              <w:end w:w="55" w:type="dxa"/>
            </w:tcMar>
            <w:shd w:fill="F3EDEE"/>
          </w:tcPr>
          <w:p>
            <w:pPr>
              <w:spacing w:after="0" w:line="240" w:lineRule="auto"/>
            </w:pPr>
            <w:r>
              <w:rPr>
                <w:rFonts w:ascii="Arial" w:hAnsi="Arial"/>
                <w:b/>
                <w:sz w:val="14"/>
              </w:rPr>
              <w:t>Elliptic</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Bitcoin illicit transaction detection</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203,769 total</w:t>
              <w:br/>
              <w:t>46,564 labelled</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234,355 directed</w:t>
              <w:br/>
              <w:t>438,124 with self-loops</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165 model features</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4,545 / 42,019</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9.76% of labelled</w:t>
            </w:r>
          </w:p>
        </w:tc>
        <w:tc>
          <w:tcPr>
            <w:tcW w:type="dxa" w:w="1315"/>
            <w:vAlign w:val="top"/>
            <w:tcMar>
              <w:top w:w="45" w:type="dxa"/>
              <w:start w:w="55" w:type="dxa"/>
              <w:bottom w:w="45" w:type="dxa"/>
              <w:end w:w="55" w:type="dxa"/>
            </w:tcMar>
            <w:shd w:fill="F3EDEE"/>
          </w:tcPr>
          <w:p>
            <w:pPr>
              <w:spacing w:after="0" w:line="240" w:lineRule="auto"/>
            </w:pPr>
            <w:r>
              <w:rPr>
                <w:rFonts w:ascii="Arial" w:hAnsi="Arial"/>
                <w:sz w:val="14"/>
              </w:rPr>
              <w:t>Input adapter; chronological complete</w:t>
            </w:r>
          </w:p>
        </w:tc>
      </w:tr>
    </w:tbl>
    <w:p>
      <w:pPr>
        <w:spacing w:after="20"/>
      </w:pPr>
    </w:p>
    <w:p>
      <w:pPr>
        <w:spacing w:before="40" w:after="100"/>
      </w:pPr>
      <w:r>
        <w:rPr>
          <w:i/>
          <w:color w:val="666666"/>
          <w:sz w:val="16"/>
        </w:rPr>
        <w:t>Edge counts follow the established benchmark/reference convention where available; the exact stored/model-input edge convention is shown where it differs materially. For Amazon and Elliptic, fraud percentages are calculated over labelled/supervised nodes. Elliptic uses 165 actual model features; the time-step field is metadata for splitting, not a model feature.</w:t>
      </w:r>
    </w:p>
    <w:p>
      <w:pPr>
        <w:pStyle w:val="Heading1"/>
      </w:pPr>
      <w:r>
        <w:t>2. Common controlled comparison conditions</w:t>
      </w:r>
    </w:p>
    <w:tbl>
      <w:tblPr>
        <w:tblW w:type="auto" w:w="0"/>
        <w:jc w:val="center"/>
        <w:tblLayout w:type="fixed"/>
        <w:tblLook w:firstColumn="1" w:firstRow="1" w:lastColumn="0" w:lastRow="0" w:noHBand="0" w:noVBand="1" w:val="04A0"/>
        <w:tblBorders>
          <w:top w:val="single" w:sz="4" w:color="555555"/>
          <w:left w:val="single" w:sz="4" w:color="555555"/>
          <w:bottom w:val="single" w:sz="4" w:color="555555"/>
          <w:right w:val="single" w:sz="4" w:color="555555"/>
          <w:insideH w:val="single" w:sz="4" w:color="555555"/>
          <w:insideV w:val="single" w:sz="4" w:color="555555"/>
        </w:tblBorders>
      </w:tblPr>
      <w:tblGrid>
        <w:gridCol w:w="5262"/>
        <w:gridCol w:w="5262"/>
      </w:tblGrid>
      <w:tr>
        <w:trPr>
          <w:tblHeader w:val="true"/>
          <w:cantSplit/>
          <w:tblHeader w:val="true"/>
        </w:trPr>
        <w:tc>
          <w:tcPr>
            <w:tcW w:type="dxa" w:w="5262"/>
            <w:shd w:fill="7A1F3D"/>
            <w:vAlign w:val="center"/>
            <w:tcMar>
              <w:top w:w="45" w:type="dxa"/>
              <w:start w:w="55" w:type="dxa"/>
              <w:bottom w:w="45" w:type="dxa"/>
              <w:end w:w="55" w:type="dxa"/>
            </w:tcMar>
          </w:tcPr>
          <w:p>
            <w:pPr>
              <w:spacing w:after="0" w:line="240" w:lineRule="auto"/>
            </w:pPr>
            <w:r>
              <w:rPr>
                <w:rFonts w:ascii="Arial" w:hAnsi="Arial"/>
                <w:b/>
                <w:color w:val="FFFFFF"/>
                <w:sz w:val="15"/>
              </w:rPr>
              <w:t>Item</w:t>
            </w:r>
          </w:p>
        </w:tc>
        <w:tc>
          <w:tcPr>
            <w:tcW w:type="dxa" w:w="5262"/>
            <w:shd w:fill="7A1F3D"/>
            <w:vAlign w:val="center"/>
            <w:tcMar>
              <w:top w:w="45" w:type="dxa"/>
              <w:start w:w="55" w:type="dxa"/>
              <w:bottom w:w="45" w:type="dxa"/>
              <w:end w:w="55" w:type="dxa"/>
            </w:tcMar>
          </w:tcPr>
          <w:p>
            <w:pPr>
              <w:spacing w:after="0" w:line="240" w:lineRule="auto"/>
            </w:pPr>
            <w:r>
              <w:rPr>
                <w:rFonts w:ascii="Arial" w:hAnsi="Arial"/>
                <w:b/>
                <w:color w:val="FFFFFF"/>
                <w:sz w:val="15"/>
              </w:rPr>
              <w:t>Fixed rule used in this BWGNN study</w:t>
            </w:r>
          </w:p>
        </w:tc>
      </w:tr>
      <w:tr>
        <w:trPr>
          <w:cantSplit/>
        </w:trPr>
        <w:tc>
          <w:tcPr>
            <w:tcW w:type="dxa" w:w="5262"/>
            <w:shd w:fill="FFFFFF"/>
          </w:tcPr>
          <w:p>
            <w:pPr>
              <w:spacing w:after="0" w:line="240" w:lineRule="auto"/>
            </w:pPr>
            <w:r>
              <w:rPr>
                <w:rFonts w:ascii="Arial" w:hAnsi="Arial"/>
                <w:sz w:val="14"/>
              </w:rPr>
              <w:t>Experimental-mode separation</w:t>
            </w:r>
          </w:p>
        </w:tc>
        <w:tc>
          <w:tcPr>
            <w:tcW w:type="dxa" w:w="5262"/>
            <w:shd w:fill="FFFFFF"/>
          </w:tcPr>
          <w:p>
            <w:pPr>
              <w:spacing w:after="0" w:line="240" w:lineRule="auto"/>
            </w:pPr>
            <w:r>
              <w:rPr>
                <w:rFonts w:ascii="Arial" w:hAnsi="Arial"/>
                <w:sz w:val="14"/>
              </w:rPr>
              <w:t>Author-code reproduction/validation and unified controlled results are kept separate. This findings report uses unified benchmark results plus clearly labelled compatibility/feasibility evidence; modes are never mixed.</w:t>
            </w:r>
          </w:p>
        </w:tc>
      </w:tr>
      <w:tr>
        <w:trPr>
          <w:cantSplit/>
        </w:trPr>
        <w:tc>
          <w:tcPr>
            <w:tcW w:type="dxa" w:w="5262"/>
            <w:shd w:fill="F3EDEE"/>
          </w:tcPr>
          <w:p>
            <w:pPr>
              <w:spacing w:after="0" w:line="240" w:lineRule="auto"/>
            </w:pPr>
            <w:r>
              <w:rPr>
                <w:rFonts w:ascii="Arial" w:hAnsi="Arial"/>
                <w:sz w:val="14"/>
              </w:rPr>
              <w:t>Official source identity</w:t>
            </w:r>
          </w:p>
        </w:tc>
        <w:tc>
          <w:tcPr>
            <w:tcW w:type="dxa" w:w="5262"/>
            <w:shd w:fill="F3EDEE"/>
          </w:tcPr>
          <w:p>
            <w:pPr>
              <w:spacing w:after="0" w:line="240" w:lineRule="auto"/>
            </w:pPr>
            <w:r>
              <w:rPr>
                <w:rFonts w:ascii="Arial" w:hAnsi="Arial"/>
                <w:sz w:val="14"/>
              </w:rPr>
              <w:t>squareRoot3/Rethinking-Anomaly-Detection; frozen commit de0631f039bbd19c1890b483cc01f1007f596af7.</w:t>
            </w:r>
          </w:p>
        </w:tc>
      </w:tr>
      <w:tr>
        <w:trPr>
          <w:cantSplit/>
        </w:trPr>
        <w:tc>
          <w:tcPr>
            <w:tcW w:type="dxa" w:w="5262"/>
            <w:shd w:fill="FFFFFF"/>
          </w:tcPr>
          <w:p>
            <w:pPr>
              <w:spacing w:after="0" w:line="240" w:lineRule="auto"/>
            </w:pPr>
            <w:r>
              <w:rPr>
                <w:rFonts w:ascii="Arial" w:hAnsi="Arial"/>
                <w:sz w:val="14"/>
              </w:rPr>
              <w:t>Actual BWGNN environment</w:t>
            </w:r>
          </w:p>
        </w:tc>
        <w:tc>
          <w:tcPr>
            <w:tcW w:type="dxa" w:w="5262"/>
            <w:shd w:fill="FFFFFF"/>
          </w:tcPr>
          <w:p>
            <w:pPr>
              <w:spacing w:after="0" w:line="240" w:lineRule="auto"/>
            </w:pPr>
            <w:r>
              <w:rPr>
                <w:rFonts w:ascii="Arial" w:hAnsi="Arial"/>
                <w:sz w:val="14"/>
              </w:rPr>
              <w:t>Isolated Python 3.9.25; PyTorch 1.9.0+cu111; DGL 0.8.1; NumPy 1.23.5; CUDA runtime linkage configured for the controlled Tesla T4.</w:t>
            </w:r>
          </w:p>
        </w:tc>
      </w:tr>
      <w:tr>
        <w:trPr>
          <w:cantSplit/>
        </w:trPr>
        <w:tc>
          <w:tcPr>
            <w:tcW w:type="dxa" w:w="5262"/>
            <w:shd w:fill="F3EDEE"/>
          </w:tcPr>
          <w:p>
            <w:pPr>
              <w:spacing w:after="0" w:line="240" w:lineRule="auto"/>
            </w:pPr>
            <w:r>
              <w:rPr>
                <w:rFonts w:ascii="Arial" w:hAnsi="Arial"/>
                <w:sz w:val="14"/>
              </w:rPr>
              <w:t>Controlled hardware</w:t>
            </w:r>
          </w:p>
        </w:tc>
        <w:tc>
          <w:tcPr>
            <w:tcW w:type="dxa" w:w="5262"/>
            <w:shd w:fill="F3EDEE"/>
          </w:tcPr>
          <w:p>
            <w:pPr>
              <w:spacing w:after="0" w:line="240" w:lineRule="auto"/>
            </w:pPr>
            <w:r>
              <w:rPr>
                <w:rFonts w:ascii="Arial" w:hAnsi="Arial"/>
                <w:sz w:val="14"/>
              </w:rPr>
              <w:t>NVIDIA Tesla T4, GPU 0 only for comparable timing and final eligible runs.</w:t>
            </w:r>
          </w:p>
        </w:tc>
      </w:tr>
      <w:tr>
        <w:trPr>
          <w:cantSplit/>
        </w:trPr>
        <w:tc>
          <w:tcPr>
            <w:tcW w:type="dxa" w:w="5262"/>
            <w:shd w:fill="FFFFFF"/>
          </w:tcPr>
          <w:p>
            <w:pPr>
              <w:spacing w:after="0" w:line="240" w:lineRule="auto"/>
            </w:pPr>
            <w:r>
              <w:rPr>
                <w:rFonts w:ascii="Arial" w:hAnsi="Arial"/>
                <w:sz w:val="14"/>
              </w:rPr>
              <w:t>Static nested split design</w:t>
            </w:r>
          </w:p>
        </w:tc>
        <w:tc>
          <w:tcPr>
            <w:tcW w:type="dxa" w:w="5262"/>
            <w:shd w:fill="FFFFFF"/>
          </w:tcPr>
          <w:p>
            <w:pPr>
              <w:spacing w:after="0" w:line="240" w:lineRule="auto"/>
            </w:pPr>
            <w:r>
              <w:rPr>
                <w:rFonts w:ascii="Arial" w:hAnsi="Arial"/>
                <w:sz w:val="14"/>
              </w:rPr>
              <w:t>TR40 = 40% train / 20% fixed validation / 40% fixed test. TR30, TR20 and TR10 are nested subsets of TR40, leaving 10%, 20% and 30% unused respectively; validation and test IDs stay fixed.</w:t>
            </w:r>
          </w:p>
        </w:tc>
      </w:tr>
      <w:tr>
        <w:trPr>
          <w:cantSplit/>
        </w:trPr>
        <w:tc>
          <w:tcPr>
            <w:tcW w:type="dxa" w:w="5262"/>
            <w:shd w:fill="F3EDEE"/>
          </w:tcPr>
          <w:p>
            <w:pPr>
              <w:spacing w:after="0" w:line="240" w:lineRule="auto"/>
            </w:pPr>
            <w:r>
              <w:rPr>
                <w:rFonts w:ascii="Arial" w:hAnsi="Arial"/>
                <w:sz w:val="14"/>
              </w:rPr>
              <w:t>Elliptic chronological design</w:t>
            </w:r>
          </w:p>
        </w:tc>
        <w:tc>
          <w:tcPr>
            <w:tcW w:type="dxa" w:w="5262"/>
            <w:shd w:fill="F3EDEE"/>
          </w:tcPr>
          <w:p>
            <w:pPr>
              <w:spacing w:after="0" w:line="240" w:lineRule="auto"/>
            </w:pPr>
            <w:r>
              <w:rPr>
                <w:rFonts w:ascii="Arial" w:hAnsi="Arial"/>
                <w:sz w:val="14"/>
              </w:rPr>
              <w:t>Whole-time-step split: TR10 steps 1–3, TR20 1–7, TR30 1–12, TR40 1–20; validation 21–31; test 32–49. Later validation/test periods are never mixed into training.</w:t>
            </w:r>
          </w:p>
        </w:tc>
      </w:tr>
      <w:tr>
        <w:trPr>
          <w:cantSplit/>
        </w:trPr>
        <w:tc>
          <w:tcPr>
            <w:tcW w:type="dxa" w:w="5262"/>
            <w:shd w:fill="FFFFFF"/>
          </w:tcPr>
          <w:p>
            <w:pPr>
              <w:spacing w:after="0" w:line="240" w:lineRule="auto"/>
            </w:pPr>
            <w:r>
              <w:rPr>
                <w:rFonts w:ascii="Arial" w:hAnsi="Arial"/>
                <w:sz w:val="14"/>
              </w:rPr>
              <w:t>Split seed</w:t>
            </w:r>
          </w:p>
        </w:tc>
        <w:tc>
          <w:tcPr>
            <w:tcW w:type="dxa" w:w="5262"/>
            <w:shd w:fill="FFFFFF"/>
          </w:tcPr>
          <w:p>
            <w:pPr>
              <w:spacing w:after="0" w:line="240" w:lineRule="auto"/>
            </w:pPr>
            <w:r>
              <w:rPr>
                <w:rFonts w:ascii="Arial" w:hAnsi="Arial"/>
                <w:sz w:val="14"/>
              </w:rPr>
              <w:t>2; split IDs are frozen separately from training seeds.</w:t>
            </w:r>
          </w:p>
        </w:tc>
      </w:tr>
      <w:tr>
        <w:trPr>
          <w:cantSplit/>
        </w:trPr>
        <w:tc>
          <w:tcPr>
            <w:tcW w:type="dxa" w:w="5262"/>
            <w:shd w:fill="F3EDEE"/>
          </w:tcPr>
          <w:p>
            <w:pPr>
              <w:spacing w:after="0" w:line="240" w:lineRule="auto"/>
            </w:pPr>
            <w:r>
              <w:rPr>
                <w:rFonts w:ascii="Arial" w:hAnsi="Arial"/>
                <w:sz w:val="14"/>
              </w:rPr>
              <w:t>Final training seeds</w:t>
            </w:r>
          </w:p>
        </w:tc>
        <w:tc>
          <w:tcPr>
            <w:tcW w:type="dxa" w:w="5262"/>
            <w:shd w:fill="F3EDEE"/>
          </w:tcPr>
          <w:p>
            <w:pPr>
              <w:spacing w:after="0" w:line="240" w:lineRule="auto"/>
            </w:pPr>
            <w:r>
              <w:rPr>
                <w:rFonts w:ascii="Arial" w:hAnsi="Arial"/>
                <w:sz w:val="14"/>
              </w:rPr>
              <w:t>2, 42 and 72 for every completed unified ratio.</w:t>
            </w:r>
          </w:p>
        </w:tc>
      </w:tr>
      <w:tr>
        <w:trPr>
          <w:cantSplit/>
        </w:trPr>
        <w:tc>
          <w:tcPr>
            <w:tcW w:type="dxa" w:w="5262"/>
            <w:shd w:fill="FFFFFF"/>
          </w:tcPr>
          <w:p>
            <w:pPr>
              <w:spacing w:after="0" w:line="240" w:lineRule="auto"/>
            </w:pPr>
            <w:r>
              <w:rPr>
                <w:rFonts w:ascii="Arial" w:hAnsi="Arial"/>
                <w:sz w:val="14"/>
              </w:rPr>
              <w:t>Controlled optimizer</w:t>
            </w:r>
          </w:p>
        </w:tc>
        <w:tc>
          <w:tcPr>
            <w:tcW w:type="dxa" w:w="5262"/>
            <w:shd w:fill="FFFFFF"/>
          </w:tcPr>
          <w:p>
            <w:pPr>
              <w:spacing w:after="0" w:line="240" w:lineRule="auto"/>
            </w:pPr>
            <w:r>
              <w:rPr>
                <w:rFonts w:ascii="Arial" w:hAnsi="Arial"/>
                <w:sz w:val="14"/>
              </w:rPr>
              <w:t>Adam with beta1 = 0.9, beta2 = 0.999 and epsilon = 1e-8.</w:t>
            </w:r>
          </w:p>
        </w:tc>
      </w:tr>
      <w:tr>
        <w:trPr>
          <w:cantSplit/>
        </w:trPr>
        <w:tc>
          <w:tcPr>
            <w:tcW w:type="dxa" w:w="5262"/>
            <w:shd w:fill="F3EDEE"/>
          </w:tcPr>
          <w:p>
            <w:pPr>
              <w:spacing w:after="0" w:line="240" w:lineRule="auto"/>
            </w:pPr>
            <w:r>
              <w:rPr>
                <w:rFonts w:ascii="Arial" w:hAnsi="Arial"/>
                <w:sz w:val="14"/>
              </w:rPr>
              <w:t>Equal tuning budget</w:t>
            </w:r>
          </w:p>
        </w:tc>
        <w:tc>
          <w:tcPr>
            <w:tcW w:type="dxa" w:w="5262"/>
            <w:shd w:fill="F3EDEE"/>
          </w:tcPr>
          <w:p>
            <w:pPr>
              <w:spacing w:after="0" w:line="240" w:lineRule="auto"/>
            </w:pPr>
            <w:r>
              <w:rPr>
                <w:rFonts w:ascii="Arial" w:hAnsi="Arial"/>
                <w:sz w:val="14"/>
              </w:rPr>
              <w:t>Maximum 12 trials per eligible dataset on TR40 with training seed 2; maximum 100 epochs and patience 20; the winning configuration is frozen for TR30/TR20/TR10.</w:t>
            </w:r>
          </w:p>
        </w:tc>
      </w:tr>
      <w:tr>
        <w:trPr>
          <w:cantSplit/>
        </w:trPr>
        <w:tc>
          <w:tcPr>
            <w:tcW w:type="dxa" w:w="5262"/>
            <w:shd w:fill="FFFFFF"/>
          </w:tcPr>
          <w:p>
            <w:pPr>
              <w:spacing w:after="0" w:line="240" w:lineRule="auto"/>
            </w:pPr>
            <w:r>
              <w:rPr>
                <w:rFonts w:ascii="Arial" w:hAnsi="Arial"/>
                <w:sz w:val="14"/>
              </w:rPr>
              <w:t>Tuning search space</w:t>
            </w:r>
          </w:p>
        </w:tc>
        <w:tc>
          <w:tcPr>
            <w:tcW w:type="dxa" w:w="5262"/>
            <w:shd w:fill="FFFFFF"/>
          </w:tcPr>
          <w:p>
            <w:pPr>
              <w:spacing w:after="0" w:line="240" w:lineRule="auto"/>
            </w:pPr>
            <w:r>
              <w:rPr>
                <w:rFonts w:ascii="Arial" w:hAnsi="Arial"/>
                <w:sz w:val="14"/>
              </w:rPr>
              <w:t>Learning rate within 1e-4–1e-2; weight decay in {0, 1e-5, 1e-4, 1e-3}; hidden dimension 32/64/128 where exposed; BWGNN order varied within supported choices. Every attempt counts toward the same 12-trial budget.</w:t>
            </w:r>
          </w:p>
        </w:tc>
      </w:tr>
      <w:tr>
        <w:trPr>
          <w:cantSplit/>
        </w:trPr>
        <w:tc>
          <w:tcPr>
            <w:tcW w:type="dxa" w:w="5262"/>
            <w:shd w:fill="F3EDEE"/>
          </w:tcPr>
          <w:p>
            <w:pPr>
              <w:spacing w:after="0" w:line="240" w:lineRule="auto"/>
            </w:pPr>
            <w:r>
              <w:rPr>
                <w:rFonts w:ascii="Arial" w:hAnsi="Arial"/>
                <w:sz w:val="14"/>
              </w:rPr>
              <w:t>Checkpoint selection</w:t>
            </w:r>
          </w:p>
        </w:tc>
        <w:tc>
          <w:tcPr>
            <w:tcW w:type="dxa" w:w="5262"/>
            <w:shd w:fill="F3EDEE"/>
          </w:tcPr>
          <w:p>
            <w:pPr>
              <w:spacing w:after="0" w:line="240" w:lineRule="auto"/>
            </w:pPr>
            <w:r>
              <w:rPr>
                <w:rFonts w:ascii="Arial" w:hAnsi="Arial"/>
                <w:sz w:val="14"/>
              </w:rPr>
              <w:t>Best checkpoint selected by validation AUPRC only.</w:t>
            </w:r>
          </w:p>
        </w:tc>
      </w:tr>
      <w:tr>
        <w:trPr>
          <w:cantSplit/>
        </w:trPr>
        <w:tc>
          <w:tcPr>
            <w:tcW w:type="dxa" w:w="5262"/>
            <w:shd w:fill="FFFFFF"/>
          </w:tcPr>
          <w:p>
            <w:pPr>
              <w:spacing w:after="0" w:line="240" w:lineRule="auto"/>
            </w:pPr>
            <w:r>
              <w:rPr>
                <w:rFonts w:ascii="Arial" w:hAnsi="Arial"/>
                <w:sz w:val="14"/>
              </w:rPr>
              <w:t>Decision threshold</w:t>
            </w:r>
          </w:p>
        </w:tc>
        <w:tc>
          <w:tcPr>
            <w:tcW w:type="dxa" w:w="5262"/>
            <w:shd w:fill="FFFFFF"/>
          </w:tcPr>
          <w:p>
            <w:pPr>
              <w:spacing w:after="0" w:line="240" w:lineRule="auto"/>
            </w:pPr>
            <w:r>
              <w:rPr>
                <w:rFonts w:ascii="Arial" w:hAnsi="Arial"/>
                <w:sz w:val="14"/>
              </w:rPr>
              <w:t>Selected on validation scores by maximum Macro-F1 over 0.01–0.99 in 0.01 steps; ties broken by fraud recall, then threshold closest to 0.5.</w:t>
            </w:r>
          </w:p>
        </w:tc>
      </w:tr>
      <w:tr>
        <w:trPr>
          <w:cantSplit/>
        </w:trPr>
        <w:tc>
          <w:tcPr>
            <w:tcW w:type="dxa" w:w="5262"/>
            <w:shd w:fill="F3EDEE"/>
          </w:tcPr>
          <w:p>
            <w:pPr>
              <w:spacing w:after="0" w:line="240" w:lineRule="auto"/>
            </w:pPr>
            <w:r>
              <w:rPr>
                <w:rFonts w:ascii="Arial" w:hAnsi="Arial"/>
                <w:sz w:val="14"/>
              </w:rPr>
              <w:t>Test isolation</w:t>
            </w:r>
          </w:p>
        </w:tc>
        <w:tc>
          <w:tcPr>
            <w:tcW w:type="dxa" w:w="5262"/>
            <w:shd w:fill="F3EDEE"/>
          </w:tcPr>
          <w:p>
            <w:pPr>
              <w:spacing w:after="0" w:line="240" w:lineRule="auto"/>
            </w:pPr>
            <w:r>
              <w:rPr>
                <w:rFonts w:ascii="Arial" w:hAnsi="Arial"/>
                <w:sz w:val="14"/>
              </w:rPr>
              <w:t>Test data is not used for hyperparameter, checkpoint or threshold selection; test metrics are produced only after all choices are frozen.</w:t>
            </w:r>
          </w:p>
        </w:tc>
      </w:tr>
      <w:tr>
        <w:trPr>
          <w:cantSplit/>
        </w:trPr>
        <w:tc>
          <w:tcPr>
            <w:tcW w:type="dxa" w:w="5262"/>
            <w:shd w:fill="FFFFFF"/>
          </w:tcPr>
          <w:p>
            <w:pPr>
              <w:spacing w:after="0" w:line="240" w:lineRule="auto"/>
            </w:pPr>
            <w:r>
              <w:rPr>
                <w:rFonts w:ascii="Arial" w:hAnsi="Arial"/>
                <w:sz w:val="14"/>
              </w:rPr>
              <w:t>Compatibility / architecture rule</w:t>
            </w:r>
          </w:p>
        </w:tc>
        <w:tc>
          <w:tcPr>
            <w:tcW w:type="dxa" w:w="5262"/>
            <w:shd w:fill="FFFFFF"/>
          </w:tcPr>
          <w:p>
            <w:pPr>
              <w:spacing w:after="0" w:line="240" w:lineRule="auto"/>
            </w:pPr>
            <w:r>
              <w:rPr>
                <w:rFonts w:ascii="Arial" w:hAnsi="Arial"/>
                <w:sz w:val="14"/>
              </w:rPr>
              <w:t>Each dataset is classified before final runs as Native, Input adapter, Conditional or not eligible/infeasible. BWGNN core architecture and fraud-specific mechanism are not redesigned to force a result.</w:t>
            </w:r>
          </w:p>
        </w:tc>
      </w:tr>
      <w:tr>
        <w:trPr>
          <w:cantSplit/>
        </w:trPr>
        <w:tc>
          <w:tcPr>
            <w:tcW w:type="dxa" w:w="5262"/>
            <w:shd w:fill="F3EDEE"/>
          </w:tcPr>
          <w:p>
            <w:pPr>
              <w:spacing w:after="0" w:line="240" w:lineRule="auto"/>
            </w:pPr>
            <w:r>
              <w:rPr>
                <w:rFonts w:ascii="Arial" w:hAnsi="Arial"/>
                <w:sz w:val="14"/>
              </w:rPr>
              <w:t>Shared evaluator / reported metrics</w:t>
            </w:r>
          </w:p>
        </w:tc>
        <w:tc>
          <w:tcPr>
            <w:tcW w:type="dxa" w:w="5262"/>
            <w:shd w:fill="F3EDEE"/>
          </w:tcPr>
          <w:p>
            <w:pPr>
              <w:spacing w:after="0" w:line="240" w:lineRule="auto"/>
            </w:pPr>
            <w:r>
              <w:rPr>
                <w:rFonts w:ascii="Arial" w:hAnsi="Arial"/>
                <w:sz w:val="14"/>
              </w:rPr>
              <w:t>AUPRC, AUROC, Macro-F1 and fraud recall are the main cross-dataset fields; fraud precision, fraud F1 and G-Mean are retained where the primary final artifact records them.</w:t>
            </w:r>
          </w:p>
        </w:tc>
      </w:tr>
      <w:tr>
        <w:trPr>
          <w:cantSplit/>
        </w:trPr>
        <w:tc>
          <w:tcPr>
            <w:tcW w:type="dxa" w:w="5262"/>
            <w:shd w:fill="FFFFFF"/>
          </w:tcPr>
          <w:p>
            <w:pPr>
              <w:spacing w:after="0" w:line="240" w:lineRule="auto"/>
            </w:pPr>
            <w:r>
              <w:rPr>
                <w:rFonts w:ascii="Arial" w:hAnsi="Arial"/>
                <w:sz w:val="14"/>
              </w:rPr>
              <w:t>Efficiency boundary and evidence</w:t>
            </w:r>
          </w:p>
        </w:tc>
        <w:tc>
          <w:tcPr>
            <w:tcW w:type="dxa" w:w="5262"/>
            <w:shd w:fill="FFFFFF"/>
          </w:tcPr>
          <w:p>
            <w:pPr>
              <w:spacing w:after="0" w:line="240" w:lineRule="auto"/>
            </w:pPr>
            <w:r>
              <w:rPr>
                <w:rFonts w:ascii="Arial" w:hAnsi="Arial"/>
                <w:sz w:val="14"/>
              </w:rPr>
              <w:t>Record raw per-epoch training time, total training-only time, inference latency and peak GPU memory; validation time is kept separate from training time. Split/config/environment/run evidence and checksums are retained for audit.</w:t>
            </w:r>
          </w:p>
        </w:tc>
      </w:tr>
    </w:tbl>
    <w:p>
      <w:pPr>
        <w:spacing w:after="20"/>
      </w:pPr>
    </w:p>
    <w:p>
      <w:pPr>
        <w:pStyle w:val="Heading1"/>
      </w:pPr>
      <w:r>
        <w:t>3. Frozen BWGNN configuration by dataset</w:t>
      </w:r>
    </w:p>
    <w:tbl>
      <w:tblPr>
        <w:tblW w:type="auto" w:w="0"/>
        <w:jc w:val="center"/>
        <w:tblLayout w:type="fixed"/>
        <w:tblLook w:firstColumn="1" w:firstRow="1" w:lastColumn="0" w:lastRow="0" w:noHBand="0" w:noVBand="1" w:val="04A0"/>
        <w:tblBorders>
          <w:top w:val="single" w:sz="4" w:color="555555"/>
          <w:left w:val="single" w:sz="4" w:color="555555"/>
          <w:bottom w:val="single" w:sz="4" w:color="555555"/>
          <w:right w:val="single" w:sz="4" w:color="555555"/>
          <w:insideH w:val="single" w:sz="4" w:color="555555"/>
          <w:insideV w:val="single" w:sz="4" w:color="555555"/>
        </w:tblBorders>
      </w:tblPr>
      <w:tblGrid>
        <w:gridCol w:w="1754"/>
        <w:gridCol w:w="1754"/>
        <w:gridCol w:w="1754"/>
        <w:gridCol w:w="1754"/>
        <w:gridCol w:w="1754"/>
        <w:gridCol w:w="1754"/>
      </w:tblGrid>
      <w:tr>
        <w:trPr>
          <w:tblHeader w:val="true"/>
        </w:trPr>
        <w:tc>
          <w:tcPr>
            <w:tcW w:type="dxa" w:w="1754"/>
            <w:shd w:fill="7A1F3D"/>
            <w:vAlign w:val="center"/>
            <w:tcMar>
              <w:top w:w="45" w:type="dxa"/>
              <w:start w:w="55" w:type="dxa"/>
              <w:bottom w:w="45" w:type="dxa"/>
              <w:end w:w="55" w:type="dxa"/>
            </w:tcMar>
          </w:tcPr>
          <w:p>
            <w:pPr>
              <w:spacing w:after="0"/>
            </w:pPr>
            <w:r>
              <w:rPr>
                <w:rFonts w:ascii="Arial" w:hAnsi="Arial"/>
                <w:b/>
                <w:color w:val="FFFFFF"/>
                <w:sz w:val="14"/>
              </w:rPr>
              <w:t>Dataset</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Compatibility / execution</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Hidden</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Order</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Learning rate</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Frozen treatment</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5"/>
              </w:rPr>
              <w:t>YelpChi</w:t>
            </w:r>
          </w:p>
        </w:tc>
        <w:tc>
          <w:tcPr>
            <w:tcW w:type="dxa" w:w="1754"/>
            <w:vAlign w:val="top"/>
            <w:tcMar>
              <w:top w:w="45" w:type="dxa"/>
              <w:start w:w="55" w:type="dxa"/>
              <w:bottom w:w="45" w:type="dxa"/>
              <w:end w:w="55" w:type="dxa"/>
            </w:tcMar>
          </w:tcPr>
          <w:p>
            <w:pPr>
              <w:spacing w:after="0" w:line="240" w:lineRule="auto"/>
            </w:pPr>
            <w:r>
              <w:rPr>
                <w:rFonts w:ascii="Arial" w:hAnsi="Arial"/>
                <w:sz w:val="15"/>
              </w:rPr>
              <w:t>Native → homogeneous execution</w:t>
            </w:r>
          </w:p>
        </w:tc>
        <w:tc>
          <w:tcPr>
            <w:tcW w:type="dxa" w:w="1754"/>
            <w:vAlign w:val="top"/>
            <w:tcMar>
              <w:top w:w="45" w:type="dxa"/>
              <w:start w:w="55" w:type="dxa"/>
              <w:bottom w:w="45" w:type="dxa"/>
              <w:end w:w="55" w:type="dxa"/>
            </w:tcMar>
          </w:tcPr>
          <w:p>
            <w:pPr>
              <w:spacing w:after="0" w:line="240" w:lineRule="auto"/>
            </w:pPr>
            <w:r>
              <w:rPr>
                <w:rFonts w:ascii="Arial" w:hAnsi="Arial"/>
                <w:sz w:val="15"/>
              </w:rPr>
              <w:t>64</w:t>
            </w:r>
          </w:p>
        </w:tc>
        <w:tc>
          <w:tcPr>
            <w:tcW w:type="dxa" w:w="1754"/>
            <w:vAlign w:val="top"/>
            <w:tcMar>
              <w:top w:w="45" w:type="dxa"/>
              <w:start w:w="55" w:type="dxa"/>
              <w:bottom w:w="45" w:type="dxa"/>
              <w:end w:w="55" w:type="dxa"/>
            </w:tcMar>
          </w:tcPr>
          <w:p>
            <w:pPr>
              <w:spacing w:after="0" w:line="240" w:lineRule="auto"/>
            </w:pPr>
            <w:r>
              <w:rPr>
                <w:rFonts w:ascii="Arial" w:hAnsi="Arial"/>
                <w:sz w:val="15"/>
              </w:rPr>
              <w:t>3</w:t>
            </w:r>
          </w:p>
        </w:tc>
        <w:tc>
          <w:tcPr>
            <w:tcW w:type="dxa" w:w="1754"/>
            <w:vAlign w:val="top"/>
            <w:tcMar>
              <w:top w:w="45" w:type="dxa"/>
              <w:start w:w="55" w:type="dxa"/>
              <w:bottom w:w="45" w:type="dxa"/>
              <w:end w:w="55" w:type="dxa"/>
            </w:tcMar>
          </w:tcPr>
          <w:p>
            <w:pPr>
              <w:spacing w:after="0" w:line="240" w:lineRule="auto"/>
            </w:pPr>
            <w:r>
              <w:rPr>
                <w:rFonts w:ascii="Arial" w:hAnsi="Arial"/>
                <w:sz w:val="15"/>
              </w:rPr>
              <w:t>0.005</w:t>
            </w:r>
          </w:p>
        </w:tc>
        <w:tc>
          <w:tcPr>
            <w:tcW w:type="dxa" w:w="1754"/>
            <w:vAlign w:val="top"/>
            <w:tcMar>
              <w:top w:w="45" w:type="dxa"/>
              <w:start w:w="55" w:type="dxa"/>
              <w:bottom w:w="45" w:type="dxa"/>
              <w:end w:w="55" w:type="dxa"/>
            </w:tcMar>
          </w:tcPr>
          <w:p>
            <w:pPr>
              <w:spacing w:after="0" w:line="240" w:lineRule="auto"/>
            </w:pPr>
            <w:r>
              <w:rPr>
                <w:rFonts w:ascii="Arial" w:hAnsi="Arial"/>
                <w:sz w:val="15"/>
              </w:rPr>
              <w:t>12-trial TR40 validation-AUPRC tuning; frozen for all final ratios</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5"/>
              </w:rPr>
              <w:t>Amazon</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Native → homogeneous execution</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32</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2</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0.010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12-trial TR40 validation-AUPRC tuning; frozen for all final ratios</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5"/>
              </w:rPr>
              <w:t>T-Finance</w:t>
            </w:r>
          </w:p>
        </w:tc>
        <w:tc>
          <w:tcPr>
            <w:tcW w:type="dxa" w:w="1754"/>
            <w:vAlign w:val="top"/>
            <w:tcMar>
              <w:top w:w="45" w:type="dxa"/>
              <w:start w:w="55" w:type="dxa"/>
              <w:bottom w:w="45" w:type="dxa"/>
              <w:end w:w="55" w:type="dxa"/>
            </w:tcMar>
          </w:tcPr>
          <w:p>
            <w:pPr>
              <w:spacing w:after="0" w:line="240" w:lineRule="auto"/>
            </w:pPr>
            <w:r>
              <w:rPr>
                <w:rFonts w:ascii="Arial" w:hAnsi="Arial"/>
                <w:sz w:val="15"/>
              </w:rPr>
              <w:t>Native homogeneous</w:t>
            </w:r>
          </w:p>
        </w:tc>
        <w:tc>
          <w:tcPr>
            <w:tcW w:type="dxa" w:w="1754"/>
            <w:vAlign w:val="top"/>
            <w:tcMar>
              <w:top w:w="45" w:type="dxa"/>
              <w:start w:w="55" w:type="dxa"/>
              <w:bottom w:w="45" w:type="dxa"/>
              <w:end w:w="55" w:type="dxa"/>
            </w:tcMar>
          </w:tcPr>
          <w:p>
            <w:pPr>
              <w:spacing w:after="0" w:line="240" w:lineRule="auto"/>
            </w:pPr>
            <w:r>
              <w:rPr>
                <w:rFonts w:ascii="Arial" w:hAnsi="Arial"/>
                <w:sz w:val="15"/>
              </w:rPr>
              <w:t>64</w:t>
            </w:r>
          </w:p>
        </w:tc>
        <w:tc>
          <w:tcPr>
            <w:tcW w:type="dxa" w:w="1754"/>
            <w:vAlign w:val="top"/>
            <w:tcMar>
              <w:top w:w="45" w:type="dxa"/>
              <w:start w:w="55" w:type="dxa"/>
              <w:bottom w:w="45" w:type="dxa"/>
              <w:end w:w="55" w:type="dxa"/>
            </w:tcMar>
          </w:tcPr>
          <w:p>
            <w:pPr>
              <w:spacing w:after="0" w:line="240" w:lineRule="auto"/>
            </w:pPr>
            <w:r>
              <w:rPr>
                <w:rFonts w:ascii="Arial" w:hAnsi="Arial"/>
                <w:sz w:val="15"/>
              </w:rPr>
              <w:t>3</w:t>
            </w:r>
          </w:p>
        </w:tc>
        <w:tc>
          <w:tcPr>
            <w:tcW w:type="dxa" w:w="1754"/>
            <w:vAlign w:val="top"/>
            <w:tcMar>
              <w:top w:w="45" w:type="dxa"/>
              <w:start w:w="55" w:type="dxa"/>
              <w:bottom w:w="45" w:type="dxa"/>
              <w:end w:w="55" w:type="dxa"/>
            </w:tcMar>
          </w:tcPr>
          <w:p>
            <w:pPr>
              <w:spacing w:after="0" w:line="240" w:lineRule="auto"/>
            </w:pPr>
            <w:r>
              <w:rPr>
                <w:rFonts w:ascii="Arial" w:hAnsi="Arial"/>
                <w:sz w:val="15"/>
              </w:rPr>
              <w:t>0.005</w:t>
            </w:r>
          </w:p>
        </w:tc>
        <w:tc>
          <w:tcPr>
            <w:tcW w:type="dxa" w:w="1754"/>
            <w:vAlign w:val="top"/>
            <w:tcMar>
              <w:top w:w="45" w:type="dxa"/>
              <w:start w:w="55" w:type="dxa"/>
              <w:bottom w:w="45" w:type="dxa"/>
              <w:end w:w="55" w:type="dxa"/>
            </w:tcMar>
          </w:tcPr>
          <w:p>
            <w:pPr>
              <w:spacing w:after="0" w:line="240" w:lineRule="auto"/>
            </w:pPr>
            <w:r>
              <w:rPr>
                <w:rFonts w:ascii="Arial" w:hAnsi="Arial"/>
                <w:sz w:val="15"/>
              </w:rPr>
              <w:t>12-trial TR40 validation-AUPRC tuning; frozen for all final ratios</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5"/>
              </w:rPr>
              <w:t>T-Social</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Native homogeneous</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64→32→16→8</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2</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0.010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Compatibility-only full-graph attempts; no tuning winner because backward/forward sparse operations exceeded T4 memory</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5"/>
              </w:rPr>
              <w:t>FDCompCN</w:t>
            </w:r>
          </w:p>
        </w:tc>
        <w:tc>
          <w:tcPr>
            <w:tcW w:type="dxa" w:w="1754"/>
            <w:vAlign w:val="top"/>
            <w:tcMar>
              <w:top w:w="45" w:type="dxa"/>
              <w:start w:w="55" w:type="dxa"/>
              <w:bottom w:w="45" w:type="dxa"/>
              <w:end w:w="55" w:type="dxa"/>
            </w:tcMar>
          </w:tcPr>
          <w:p>
            <w:pPr>
              <w:spacing w:after="0" w:line="240" w:lineRule="auto"/>
            </w:pPr>
            <w:r>
              <w:rPr>
                <w:rFonts w:ascii="Arial" w:hAnsi="Arial"/>
                <w:sz w:val="15"/>
              </w:rPr>
              <w:t>Input adapter</w:t>
            </w:r>
          </w:p>
        </w:tc>
        <w:tc>
          <w:tcPr>
            <w:tcW w:type="dxa" w:w="1754"/>
            <w:vAlign w:val="top"/>
            <w:tcMar>
              <w:top w:w="45" w:type="dxa"/>
              <w:start w:w="55" w:type="dxa"/>
              <w:bottom w:w="45" w:type="dxa"/>
              <w:end w:w="55" w:type="dxa"/>
            </w:tcMar>
          </w:tcPr>
          <w:p>
            <w:pPr>
              <w:spacing w:after="0" w:line="240" w:lineRule="auto"/>
            </w:pPr>
            <w:r>
              <w:rPr>
                <w:rFonts w:ascii="Arial" w:hAnsi="Arial"/>
                <w:sz w:val="15"/>
              </w:rPr>
              <w:t>64</w:t>
            </w:r>
          </w:p>
        </w:tc>
        <w:tc>
          <w:tcPr>
            <w:tcW w:type="dxa" w:w="1754"/>
            <w:vAlign w:val="top"/>
            <w:tcMar>
              <w:top w:w="45" w:type="dxa"/>
              <w:start w:w="55" w:type="dxa"/>
              <w:bottom w:w="45" w:type="dxa"/>
              <w:end w:w="55" w:type="dxa"/>
            </w:tcMar>
          </w:tcPr>
          <w:p>
            <w:pPr>
              <w:spacing w:after="0" w:line="240" w:lineRule="auto"/>
            </w:pPr>
            <w:r>
              <w:rPr>
                <w:rFonts w:ascii="Arial" w:hAnsi="Arial"/>
                <w:sz w:val="15"/>
              </w:rPr>
              <w:t>1</w:t>
            </w:r>
          </w:p>
        </w:tc>
        <w:tc>
          <w:tcPr>
            <w:tcW w:type="dxa" w:w="1754"/>
            <w:vAlign w:val="top"/>
            <w:tcMar>
              <w:top w:w="45" w:type="dxa"/>
              <w:start w:w="55" w:type="dxa"/>
              <w:bottom w:w="45" w:type="dxa"/>
              <w:end w:w="55" w:type="dxa"/>
            </w:tcMar>
          </w:tcPr>
          <w:p>
            <w:pPr>
              <w:spacing w:after="0" w:line="240" w:lineRule="auto"/>
            </w:pPr>
            <w:r>
              <w:rPr>
                <w:rFonts w:ascii="Arial" w:hAnsi="Arial"/>
                <w:sz w:val="15"/>
              </w:rPr>
              <w:t>0.010</w:t>
            </w:r>
          </w:p>
        </w:tc>
        <w:tc>
          <w:tcPr>
            <w:tcW w:type="dxa" w:w="1754"/>
            <w:vAlign w:val="top"/>
            <w:tcMar>
              <w:top w:w="45" w:type="dxa"/>
              <w:start w:w="55" w:type="dxa"/>
              <w:bottom w:w="45" w:type="dxa"/>
              <w:end w:w="55" w:type="dxa"/>
            </w:tcMar>
          </w:tcPr>
          <w:p>
            <w:pPr>
              <w:spacing w:after="0" w:line="240" w:lineRule="auto"/>
            </w:pPr>
            <w:r>
              <w:rPr>
                <w:rFonts w:ascii="Arial" w:hAnsi="Arial"/>
                <w:sz w:val="15"/>
              </w:rPr>
              <w:t>12-trial TR40 tuning; DGL heterogeneous-to-homogeneous representation + self-loops; architecture unchanged</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5"/>
              </w:rPr>
              <w:t>Elliptic</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Input adapter</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128</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2</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0.005</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5"/>
              </w:rPr>
              <w:t>12-trial TR40 tuning; directed edges preserved; unknown nodes retained for message passing; chronology preserved</w:t>
            </w:r>
          </w:p>
        </w:tc>
      </w:tr>
    </w:tbl>
    <w:p>
      <w:pPr>
        <w:spacing w:after="20"/>
      </w:pPr>
    </w:p>
    <w:p>
      <w:pPr>
        <w:pStyle w:val="Heading1"/>
      </w:pPr>
      <w:r>
        <w:t>4. Core test performance across training-label availability</w:t>
      </w:r>
    </w:p>
    <w:tbl>
      <w:tblPr>
        <w:tblW w:type="auto" w:w="0"/>
        <w:jc w:val="center"/>
        <w:tblLayout w:type="fixed"/>
        <w:tblLook w:firstColumn="1" w:firstRow="1" w:lastColumn="0" w:lastRow="0" w:noHBand="0" w:noVBand="1" w:val="04A0"/>
        <w:tblBorders>
          <w:top w:val="single" w:sz="4" w:color="555555"/>
          <w:left w:val="single" w:sz="4" w:color="555555"/>
          <w:bottom w:val="single" w:sz="4" w:color="555555"/>
          <w:right w:val="single" w:sz="4" w:color="555555"/>
          <w:insideH w:val="single" w:sz="4" w:color="555555"/>
          <w:insideV w:val="single" w:sz="4" w:color="555555"/>
        </w:tblBorders>
      </w:tblPr>
      <w:tblGrid>
        <w:gridCol w:w="1754"/>
        <w:gridCol w:w="1754"/>
        <w:gridCol w:w="1754"/>
        <w:gridCol w:w="1754"/>
        <w:gridCol w:w="1754"/>
        <w:gridCol w:w="1754"/>
      </w:tblGrid>
      <w:tr>
        <w:trPr>
          <w:tblHeader w:val="true"/>
        </w:trPr>
        <w:tc>
          <w:tcPr>
            <w:tcW w:type="dxa" w:w="1754"/>
            <w:shd w:fill="7A1F3D"/>
            <w:vAlign w:val="center"/>
            <w:tcMar>
              <w:top w:w="45" w:type="dxa"/>
              <w:start w:w="55" w:type="dxa"/>
              <w:bottom w:w="45" w:type="dxa"/>
              <w:end w:w="55" w:type="dxa"/>
            </w:tcMar>
          </w:tcPr>
          <w:p>
            <w:pPr>
              <w:spacing w:after="0"/>
            </w:pPr>
            <w:r>
              <w:rPr>
                <w:rFonts w:ascii="Arial" w:hAnsi="Arial"/>
                <w:b/>
                <w:color w:val="FFFFFF"/>
                <w:sz w:val="14"/>
              </w:rPr>
              <w:t>Dataset</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Train subset</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AUPRC</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AUROC</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Macro-F1</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Fraud recall</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YelpChi</w:t>
            </w:r>
          </w:p>
        </w:tc>
        <w:tc>
          <w:tcPr>
            <w:tcW w:type="dxa" w:w="1754"/>
            <w:vAlign w:val="top"/>
            <w:tcMar>
              <w:top w:w="45" w:type="dxa"/>
              <w:start w:w="55" w:type="dxa"/>
              <w:bottom w:w="45" w:type="dxa"/>
              <w:end w:w="55" w:type="dxa"/>
            </w:tcMar>
          </w:tcPr>
          <w:p>
            <w:pPr>
              <w:spacing w:after="0" w:line="240" w:lineRule="auto"/>
            </w:pPr>
            <w:r>
              <w:rPr>
                <w:rFonts w:ascii="Arial" w:hAnsi="Arial"/>
                <w:sz w:val="14"/>
              </w:rPr>
              <w:t>TR40</w:t>
            </w:r>
          </w:p>
        </w:tc>
        <w:tc>
          <w:tcPr>
            <w:tcW w:type="dxa" w:w="1754"/>
            <w:vAlign w:val="top"/>
            <w:tcMar>
              <w:top w:w="45" w:type="dxa"/>
              <w:start w:w="55" w:type="dxa"/>
              <w:bottom w:w="45" w:type="dxa"/>
              <w:end w:w="55" w:type="dxa"/>
            </w:tcMar>
          </w:tcPr>
          <w:p>
            <w:pPr>
              <w:spacing w:after="0" w:line="240" w:lineRule="auto"/>
            </w:pPr>
            <w:r>
              <w:rPr>
                <w:rFonts w:ascii="Arial" w:hAnsi="Arial"/>
                <w:sz w:val="14"/>
              </w:rPr>
              <w:t>0.535571 ± 0.008302</w:t>
            </w:r>
          </w:p>
        </w:tc>
        <w:tc>
          <w:tcPr>
            <w:tcW w:type="dxa" w:w="1754"/>
            <w:vAlign w:val="top"/>
            <w:tcMar>
              <w:top w:w="45" w:type="dxa"/>
              <w:start w:w="55" w:type="dxa"/>
              <w:bottom w:w="45" w:type="dxa"/>
              <w:end w:w="55" w:type="dxa"/>
            </w:tcMar>
          </w:tcPr>
          <w:p>
            <w:pPr>
              <w:spacing w:after="0" w:line="240" w:lineRule="auto"/>
            </w:pPr>
            <w:r>
              <w:rPr>
                <w:rFonts w:ascii="Arial" w:hAnsi="Arial"/>
                <w:sz w:val="14"/>
              </w:rPr>
              <w:t>0.837531 ± 0.002080</w:t>
            </w:r>
          </w:p>
        </w:tc>
        <w:tc>
          <w:tcPr>
            <w:tcW w:type="dxa" w:w="1754"/>
            <w:vAlign w:val="top"/>
            <w:tcMar>
              <w:top w:w="45" w:type="dxa"/>
              <w:start w:w="55" w:type="dxa"/>
              <w:bottom w:w="45" w:type="dxa"/>
              <w:end w:w="55" w:type="dxa"/>
            </w:tcMar>
          </w:tcPr>
          <w:p>
            <w:pPr>
              <w:spacing w:after="0" w:line="240" w:lineRule="auto"/>
            </w:pPr>
            <w:r>
              <w:rPr>
                <w:rFonts w:ascii="Arial" w:hAnsi="Arial"/>
                <w:sz w:val="14"/>
              </w:rPr>
              <w:t>0.708812 ± 0.003735</w:t>
            </w:r>
          </w:p>
        </w:tc>
        <w:tc>
          <w:tcPr>
            <w:tcW w:type="dxa" w:w="1754"/>
            <w:vAlign w:val="top"/>
            <w:tcMar>
              <w:top w:w="45" w:type="dxa"/>
              <w:start w:w="55" w:type="dxa"/>
              <w:bottom w:w="45" w:type="dxa"/>
              <w:end w:w="55" w:type="dxa"/>
            </w:tcMar>
          </w:tcPr>
          <w:p>
            <w:pPr>
              <w:spacing w:after="0" w:line="240" w:lineRule="auto"/>
            </w:pPr>
            <w:r>
              <w:rPr>
                <w:rFonts w:ascii="Arial" w:hAnsi="Arial"/>
                <w:sz w:val="14"/>
              </w:rPr>
              <w:t>0.491202 ± 0.015702</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YelpChi</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TR30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0.509155 ± 0.004291</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0.825243 ± 0.001826</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0.699815 ± 0.002219</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0.501810 ± 0.018810</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YelpChi</w:t>
            </w:r>
          </w:p>
        </w:tc>
        <w:tc>
          <w:tcPr>
            <w:tcW w:type="dxa" w:w="1754"/>
            <w:vAlign w:val="top"/>
            <w:tcMar>
              <w:top w:w="45" w:type="dxa"/>
              <w:start w:w="55" w:type="dxa"/>
              <w:bottom w:w="45" w:type="dxa"/>
              <w:end w:w="55" w:type="dxa"/>
            </w:tcMar>
          </w:tcPr>
          <w:p>
            <w:pPr>
              <w:spacing w:after="0" w:line="240" w:lineRule="auto"/>
            </w:pPr>
            <w:r>
              <w:rPr>
                <w:rFonts w:ascii="Arial" w:hAnsi="Arial"/>
                <w:sz w:val="14"/>
              </w:rPr>
              <w:t>TR20</w:t>
            </w:r>
          </w:p>
        </w:tc>
        <w:tc>
          <w:tcPr>
            <w:tcW w:type="dxa" w:w="1754"/>
            <w:vAlign w:val="top"/>
            <w:tcMar>
              <w:top w:w="45" w:type="dxa"/>
              <w:start w:w="55" w:type="dxa"/>
              <w:bottom w:w="45" w:type="dxa"/>
              <w:end w:w="55" w:type="dxa"/>
            </w:tcMar>
          </w:tcPr>
          <w:p>
            <w:pPr>
              <w:spacing w:after="0" w:line="240" w:lineRule="auto"/>
            </w:pPr>
            <w:r>
              <w:rPr>
                <w:rFonts w:ascii="Arial" w:hAnsi="Arial"/>
                <w:sz w:val="14"/>
              </w:rPr>
              <w:t>0.462400 ± 0.005879</w:t>
            </w:r>
          </w:p>
        </w:tc>
        <w:tc>
          <w:tcPr>
            <w:tcW w:type="dxa" w:w="1754"/>
            <w:vAlign w:val="top"/>
            <w:tcMar>
              <w:top w:w="45" w:type="dxa"/>
              <w:start w:w="55" w:type="dxa"/>
              <w:bottom w:w="45" w:type="dxa"/>
              <w:end w:w="55" w:type="dxa"/>
            </w:tcMar>
          </w:tcPr>
          <w:p>
            <w:pPr>
              <w:spacing w:after="0" w:line="240" w:lineRule="auto"/>
            </w:pPr>
            <w:r>
              <w:rPr>
                <w:rFonts w:ascii="Arial" w:hAnsi="Arial"/>
                <w:sz w:val="14"/>
              </w:rPr>
              <w:t>0.807148 ± 0.003028</w:t>
            </w:r>
          </w:p>
        </w:tc>
        <w:tc>
          <w:tcPr>
            <w:tcW w:type="dxa" w:w="1754"/>
            <w:vAlign w:val="top"/>
            <w:tcMar>
              <w:top w:w="45" w:type="dxa"/>
              <w:start w:w="55" w:type="dxa"/>
              <w:bottom w:w="45" w:type="dxa"/>
              <w:end w:w="55" w:type="dxa"/>
            </w:tcMar>
          </w:tcPr>
          <w:p>
            <w:pPr>
              <w:spacing w:after="0" w:line="240" w:lineRule="auto"/>
            </w:pPr>
            <w:r>
              <w:rPr>
                <w:rFonts w:ascii="Arial" w:hAnsi="Arial"/>
                <w:sz w:val="14"/>
              </w:rPr>
              <w:t>0.684823 ± 0.003769</w:t>
            </w:r>
          </w:p>
        </w:tc>
        <w:tc>
          <w:tcPr>
            <w:tcW w:type="dxa" w:w="1754"/>
            <w:vAlign w:val="top"/>
            <w:tcMar>
              <w:top w:w="45" w:type="dxa"/>
              <w:start w:w="55" w:type="dxa"/>
              <w:bottom w:w="45" w:type="dxa"/>
              <w:end w:w="55" w:type="dxa"/>
            </w:tcMar>
          </w:tcPr>
          <w:p>
            <w:pPr>
              <w:spacing w:after="0" w:line="240" w:lineRule="auto"/>
            </w:pPr>
            <w:r>
              <w:rPr>
                <w:rFonts w:ascii="Arial" w:hAnsi="Arial"/>
                <w:sz w:val="14"/>
              </w:rPr>
              <w:t>0.481093 ± 0.038311</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YelpChi</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TR10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0.417143 ± 0.012464</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0.781473 ± 0.007154</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0.664470 ± 0.004557</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0.471733 ± 0.028087</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Amazon</w:t>
            </w:r>
          </w:p>
        </w:tc>
        <w:tc>
          <w:tcPr>
            <w:tcW w:type="dxa" w:w="1754"/>
            <w:vAlign w:val="top"/>
            <w:tcMar>
              <w:top w:w="45" w:type="dxa"/>
              <w:start w:w="55" w:type="dxa"/>
              <w:bottom w:w="45" w:type="dxa"/>
              <w:end w:w="55" w:type="dxa"/>
            </w:tcMar>
          </w:tcPr>
          <w:p>
            <w:pPr>
              <w:spacing w:after="0" w:line="240" w:lineRule="auto"/>
            </w:pPr>
            <w:r>
              <w:rPr>
                <w:rFonts w:ascii="Arial" w:hAnsi="Arial"/>
                <w:sz w:val="14"/>
              </w:rPr>
              <w:t>TR40</w:t>
            </w:r>
          </w:p>
        </w:tc>
        <w:tc>
          <w:tcPr>
            <w:tcW w:type="dxa" w:w="1754"/>
            <w:vAlign w:val="top"/>
            <w:tcMar>
              <w:top w:w="45" w:type="dxa"/>
              <w:start w:w="55" w:type="dxa"/>
              <w:bottom w:w="45" w:type="dxa"/>
              <w:end w:w="55" w:type="dxa"/>
            </w:tcMar>
          </w:tcPr>
          <w:p>
            <w:pPr>
              <w:spacing w:after="0" w:line="240" w:lineRule="auto"/>
            </w:pPr>
            <w:r>
              <w:rPr>
                <w:rFonts w:ascii="Arial" w:hAnsi="Arial"/>
                <w:sz w:val="14"/>
              </w:rPr>
              <w:t>0.887772 ± 0.014411</w:t>
            </w:r>
          </w:p>
        </w:tc>
        <w:tc>
          <w:tcPr>
            <w:tcW w:type="dxa" w:w="1754"/>
            <w:vAlign w:val="top"/>
            <w:tcMar>
              <w:top w:w="45" w:type="dxa"/>
              <w:start w:w="55" w:type="dxa"/>
              <w:bottom w:w="45" w:type="dxa"/>
              <w:end w:w="55" w:type="dxa"/>
            </w:tcMar>
          </w:tcPr>
          <w:p>
            <w:pPr>
              <w:spacing w:after="0" w:line="240" w:lineRule="auto"/>
            </w:pPr>
            <w:r>
              <w:rPr>
                <w:rFonts w:ascii="Arial" w:hAnsi="Arial"/>
                <w:sz w:val="14"/>
              </w:rPr>
              <w:t>0.975916 ± 0.009033</w:t>
            </w:r>
          </w:p>
        </w:tc>
        <w:tc>
          <w:tcPr>
            <w:tcW w:type="dxa" w:w="1754"/>
            <w:vAlign w:val="top"/>
            <w:tcMar>
              <w:top w:w="45" w:type="dxa"/>
              <w:start w:w="55" w:type="dxa"/>
              <w:bottom w:w="45" w:type="dxa"/>
              <w:end w:w="55" w:type="dxa"/>
            </w:tcMar>
          </w:tcPr>
          <w:p>
            <w:pPr>
              <w:spacing w:after="0" w:line="240" w:lineRule="auto"/>
            </w:pPr>
            <w:r>
              <w:rPr>
                <w:rFonts w:ascii="Arial" w:hAnsi="Arial"/>
                <w:sz w:val="14"/>
              </w:rPr>
              <w:t>0.917353 ± 0.001687</w:t>
            </w:r>
          </w:p>
        </w:tc>
        <w:tc>
          <w:tcPr>
            <w:tcW w:type="dxa" w:w="1754"/>
            <w:vAlign w:val="top"/>
            <w:tcMar>
              <w:top w:w="45" w:type="dxa"/>
              <w:start w:w="55" w:type="dxa"/>
              <w:bottom w:w="45" w:type="dxa"/>
              <w:end w:w="55" w:type="dxa"/>
            </w:tcMar>
          </w:tcPr>
          <w:p>
            <w:pPr>
              <w:spacing w:after="0" w:line="240" w:lineRule="auto"/>
            </w:pPr>
            <w:r>
              <w:rPr>
                <w:rFonts w:ascii="Arial" w:hAnsi="Arial"/>
                <w:sz w:val="14"/>
              </w:rPr>
              <w:t>0.790650 ± 0.022055</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Amazon</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TR30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0.872878 ± 0.007379</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0.966216 ± 0.004328</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0.915446 ± 0.000787</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0.767276 ± 0.010707</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Amazon</w:t>
            </w:r>
          </w:p>
        </w:tc>
        <w:tc>
          <w:tcPr>
            <w:tcW w:type="dxa" w:w="1754"/>
            <w:vAlign w:val="top"/>
            <w:tcMar>
              <w:top w:w="45" w:type="dxa"/>
              <w:start w:w="55" w:type="dxa"/>
              <w:bottom w:w="45" w:type="dxa"/>
              <w:end w:w="55" w:type="dxa"/>
            </w:tcMar>
          </w:tcPr>
          <w:p>
            <w:pPr>
              <w:spacing w:after="0" w:line="240" w:lineRule="auto"/>
            </w:pPr>
            <w:r>
              <w:rPr>
                <w:rFonts w:ascii="Arial" w:hAnsi="Arial"/>
                <w:sz w:val="14"/>
              </w:rPr>
              <w:t>TR20</w:t>
            </w:r>
          </w:p>
        </w:tc>
        <w:tc>
          <w:tcPr>
            <w:tcW w:type="dxa" w:w="1754"/>
            <w:vAlign w:val="top"/>
            <w:tcMar>
              <w:top w:w="45" w:type="dxa"/>
              <w:start w:w="55" w:type="dxa"/>
              <w:bottom w:w="45" w:type="dxa"/>
              <w:end w:w="55" w:type="dxa"/>
            </w:tcMar>
          </w:tcPr>
          <w:p>
            <w:pPr>
              <w:spacing w:after="0" w:line="240" w:lineRule="auto"/>
            </w:pPr>
            <w:r>
              <w:rPr>
                <w:rFonts w:ascii="Arial" w:hAnsi="Arial"/>
                <w:sz w:val="14"/>
              </w:rPr>
              <w:t>0.882793 ± 0.005247</w:t>
            </w:r>
          </w:p>
        </w:tc>
        <w:tc>
          <w:tcPr>
            <w:tcW w:type="dxa" w:w="1754"/>
            <w:vAlign w:val="top"/>
            <w:tcMar>
              <w:top w:w="45" w:type="dxa"/>
              <w:start w:w="55" w:type="dxa"/>
              <w:bottom w:w="45" w:type="dxa"/>
              <w:end w:w="55" w:type="dxa"/>
            </w:tcMar>
          </w:tcPr>
          <w:p>
            <w:pPr>
              <w:spacing w:after="0" w:line="240" w:lineRule="auto"/>
            </w:pPr>
            <w:r>
              <w:rPr>
                <w:rFonts w:ascii="Arial" w:hAnsi="Arial"/>
                <w:sz w:val="14"/>
              </w:rPr>
              <w:t>0.966602 ± 0.000992</w:t>
            </w:r>
          </w:p>
        </w:tc>
        <w:tc>
          <w:tcPr>
            <w:tcW w:type="dxa" w:w="1754"/>
            <w:vAlign w:val="top"/>
            <w:tcMar>
              <w:top w:w="45" w:type="dxa"/>
              <w:start w:w="55" w:type="dxa"/>
              <w:bottom w:w="45" w:type="dxa"/>
              <w:end w:w="55" w:type="dxa"/>
            </w:tcMar>
          </w:tcPr>
          <w:p>
            <w:pPr>
              <w:spacing w:after="0" w:line="240" w:lineRule="auto"/>
            </w:pPr>
            <w:r>
              <w:rPr>
                <w:rFonts w:ascii="Arial" w:hAnsi="Arial"/>
                <w:sz w:val="14"/>
              </w:rPr>
              <w:t>0.916388 ± 0.004601</w:t>
            </w:r>
          </w:p>
        </w:tc>
        <w:tc>
          <w:tcPr>
            <w:tcW w:type="dxa" w:w="1754"/>
            <w:vAlign w:val="top"/>
            <w:tcMar>
              <w:top w:w="45" w:type="dxa"/>
              <w:start w:w="55" w:type="dxa"/>
              <w:bottom w:w="45" w:type="dxa"/>
              <w:end w:w="55" w:type="dxa"/>
            </w:tcMar>
          </w:tcPr>
          <w:p>
            <w:pPr>
              <w:spacing w:after="0" w:line="240" w:lineRule="auto"/>
            </w:pPr>
            <w:r>
              <w:rPr>
                <w:rFonts w:ascii="Arial" w:hAnsi="Arial"/>
                <w:sz w:val="14"/>
              </w:rPr>
              <w:t>0.766260 ± 0.016791</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Amazon</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TR10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0.851186 ± 0.009159</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0.947446 ± 0.007031</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0.912964 ± 0.003534</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0.777439 ± 0.010561</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T-Finance</w:t>
            </w:r>
          </w:p>
        </w:tc>
        <w:tc>
          <w:tcPr>
            <w:tcW w:type="dxa" w:w="1754"/>
            <w:vAlign w:val="top"/>
            <w:tcMar>
              <w:top w:w="45" w:type="dxa"/>
              <w:start w:w="55" w:type="dxa"/>
              <w:bottom w:w="45" w:type="dxa"/>
              <w:end w:w="55" w:type="dxa"/>
            </w:tcMar>
          </w:tcPr>
          <w:p>
            <w:pPr>
              <w:spacing w:after="0" w:line="240" w:lineRule="auto"/>
            </w:pPr>
            <w:r>
              <w:rPr>
                <w:rFonts w:ascii="Arial" w:hAnsi="Arial"/>
                <w:sz w:val="14"/>
              </w:rPr>
              <w:t>TR40</w:t>
            </w:r>
          </w:p>
        </w:tc>
        <w:tc>
          <w:tcPr>
            <w:tcW w:type="dxa" w:w="1754"/>
            <w:vAlign w:val="top"/>
            <w:tcMar>
              <w:top w:w="45" w:type="dxa"/>
              <w:start w:w="55" w:type="dxa"/>
              <w:bottom w:w="45" w:type="dxa"/>
              <w:end w:w="55" w:type="dxa"/>
            </w:tcMar>
          </w:tcPr>
          <w:p>
            <w:pPr>
              <w:spacing w:after="0" w:line="240" w:lineRule="auto"/>
            </w:pPr>
            <w:r>
              <w:rPr>
                <w:rFonts w:ascii="Arial" w:hAnsi="Arial"/>
                <w:sz w:val="14"/>
              </w:rPr>
              <w:t>0.702817 ± 0.130686</w:t>
            </w:r>
          </w:p>
        </w:tc>
        <w:tc>
          <w:tcPr>
            <w:tcW w:type="dxa" w:w="1754"/>
            <w:vAlign w:val="top"/>
            <w:tcMar>
              <w:top w:w="45" w:type="dxa"/>
              <w:start w:w="55" w:type="dxa"/>
              <w:bottom w:w="45" w:type="dxa"/>
              <w:end w:w="55" w:type="dxa"/>
            </w:tcMar>
          </w:tcPr>
          <w:p>
            <w:pPr>
              <w:spacing w:after="0" w:line="240" w:lineRule="auto"/>
            </w:pPr>
            <w:r>
              <w:rPr>
                <w:rFonts w:ascii="Arial" w:hAnsi="Arial"/>
                <w:sz w:val="14"/>
              </w:rPr>
              <w:t>0.925711 ± 0.035176</w:t>
            </w:r>
          </w:p>
        </w:tc>
        <w:tc>
          <w:tcPr>
            <w:tcW w:type="dxa" w:w="1754"/>
            <w:vAlign w:val="top"/>
            <w:tcMar>
              <w:top w:w="45" w:type="dxa"/>
              <w:start w:w="55" w:type="dxa"/>
              <w:bottom w:w="45" w:type="dxa"/>
              <w:end w:w="55" w:type="dxa"/>
            </w:tcMar>
          </w:tcPr>
          <w:p>
            <w:pPr>
              <w:spacing w:after="0" w:line="240" w:lineRule="auto"/>
            </w:pPr>
            <w:r>
              <w:rPr>
                <w:rFonts w:ascii="Arial" w:hAnsi="Arial"/>
                <w:sz w:val="14"/>
              </w:rPr>
              <w:t>0.825136 ± 0.057709</w:t>
            </w:r>
          </w:p>
        </w:tc>
        <w:tc>
          <w:tcPr>
            <w:tcW w:type="dxa" w:w="1754"/>
            <w:vAlign w:val="top"/>
            <w:tcMar>
              <w:top w:w="45" w:type="dxa"/>
              <w:start w:w="55" w:type="dxa"/>
              <w:bottom w:w="45" w:type="dxa"/>
              <w:end w:w="55" w:type="dxa"/>
            </w:tcMar>
          </w:tcPr>
          <w:p>
            <w:pPr>
              <w:spacing w:after="0" w:line="240" w:lineRule="auto"/>
            </w:pPr>
            <w:r>
              <w:rPr>
                <w:rFonts w:ascii="Arial" w:hAnsi="Arial"/>
                <w:sz w:val="14"/>
              </w:rPr>
              <w:t>0.615882 ± 0.109710</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T-Finance</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TR30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0.804245 ± 0.097219</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0.950566 ± 0.024869</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0.872840 ± 0.041323</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0.699908 ± 0.078476</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T-Finance</w:t>
            </w:r>
          </w:p>
        </w:tc>
        <w:tc>
          <w:tcPr>
            <w:tcW w:type="dxa" w:w="1754"/>
            <w:vAlign w:val="top"/>
            <w:tcMar>
              <w:top w:w="45" w:type="dxa"/>
              <w:start w:w="55" w:type="dxa"/>
              <w:bottom w:w="45" w:type="dxa"/>
              <w:end w:w="55" w:type="dxa"/>
            </w:tcMar>
          </w:tcPr>
          <w:p>
            <w:pPr>
              <w:spacing w:after="0" w:line="240" w:lineRule="auto"/>
            </w:pPr>
            <w:r>
              <w:rPr>
                <w:rFonts w:ascii="Arial" w:hAnsi="Arial"/>
                <w:sz w:val="14"/>
              </w:rPr>
              <w:t>TR20</w:t>
            </w:r>
          </w:p>
        </w:tc>
        <w:tc>
          <w:tcPr>
            <w:tcW w:type="dxa" w:w="1754"/>
            <w:vAlign w:val="top"/>
            <w:tcMar>
              <w:top w:w="45" w:type="dxa"/>
              <w:start w:w="55" w:type="dxa"/>
              <w:bottom w:w="45" w:type="dxa"/>
              <w:end w:w="55" w:type="dxa"/>
            </w:tcMar>
          </w:tcPr>
          <w:p>
            <w:pPr>
              <w:spacing w:after="0" w:line="240" w:lineRule="auto"/>
            </w:pPr>
            <w:r>
              <w:rPr>
                <w:rFonts w:ascii="Arial" w:hAnsi="Arial"/>
                <w:sz w:val="14"/>
              </w:rPr>
              <w:t>0.794517 ± 0.109954</w:t>
            </w:r>
          </w:p>
        </w:tc>
        <w:tc>
          <w:tcPr>
            <w:tcW w:type="dxa" w:w="1754"/>
            <w:vAlign w:val="top"/>
            <w:tcMar>
              <w:top w:w="45" w:type="dxa"/>
              <w:start w:w="55" w:type="dxa"/>
              <w:bottom w:w="45" w:type="dxa"/>
              <w:end w:w="55" w:type="dxa"/>
            </w:tcMar>
          </w:tcPr>
          <w:p>
            <w:pPr>
              <w:spacing w:after="0" w:line="240" w:lineRule="auto"/>
            </w:pPr>
            <w:r>
              <w:rPr>
                <w:rFonts w:ascii="Arial" w:hAnsi="Arial"/>
                <w:sz w:val="14"/>
              </w:rPr>
              <w:t>0.949853 ± 0.027211</w:t>
            </w:r>
          </w:p>
        </w:tc>
        <w:tc>
          <w:tcPr>
            <w:tcW w:type="dxa" w:w="1754"/>
            <w:vAlign w:val="top"/>
            <w:tcMar>
              <w:top w:w="45" w:type="dxa"/>
              <w:start w:w="55" w:type="dxa"/>
              <w:bottom w:w="45" w:type="dxa"/>
              <w:end w:w="55" w:type="dxa"/>
            </w:tcMar>
          </w:tcPr>
          <w:p>
            <w:pPr>
              <w:spacing w:after="0" w:line="240" w:lineRule="auto"/>
            </w:pPr>
            <w:r>
              <w:rPr>
                <w:rFonts w:ascii="Arial" w:hAnsi="Arial"/>
                <w:sz w:val="14"/>
              </w:rPr>
              <w:t>0.870512 ± 0.047095</w:t>
            </w:r>
          </w:p>
        </w:tc>
        <w:tc>
          <w:tcPr>
            <w:tcW w:type="dxa" w:w="1754"/>
            <w:vAlign w:val="top"/>
            <w:tcMar>
              <w:top w:w="45" w:type="dxa"/>
              <w:start w:w="55" w:type="dxa"/>
              <w:bottom w:w="45" w:type="dxa"/>
              <w:end w:w="55" w:type="dxa"/>
            </w:tcMar>
          </w:tcPr>
          <w:p>
            <w:pPr>
              <w:spacing w:after="0" w:line="240" w:lineRule="auto"/>
            </w:pPr>
            <w:r>
              <w:rPr>
                <w:rFonts w:ascii="Arial" w:hAnsi="Arial"/>
                <w:sz w:val="14"/>
              </w:rPr>
              <w:t>0.695753 ± 0.094896</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T-Finance</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TR10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0.848481 ± 0.013315</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0.963399 ± 0.000807</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0.892321 ± 0.005692</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0.743306 ± 0.032903</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FDCompCN</w:t>
            </w:r>
          </w:p>
        </w:tc>
        <w:tc>
          <w:tcPr>
            <w:tcW w:type="dxa" w:w="1754"/>
            <w:vAlign w:val="top"/>
            <w:tcMar>
              <w:top w:w="45" w:type="dxa"/>
              <w:start w:w="55" w:type="dxa"/>
              <w:bottom w:w="45" w:type="dxa"/>
              <w:end w:w="55" w:type="dxa"/>
            </w:tcMar>
          </w:tcPr>
          <w:p>
            <w:pPr>
              <w:spacing w:after="0" w:line="240" w:lineRule="auto"/>
            </w:pPr>
            <w:r>
              <w:rPr>
                <w:rFonts w:ascii="Arial" w:hAnsi="Arial"/>
                <w:sz w:val="14"/>
              </w:rPr>
              <w:t>TR40</w:t>
            </w:r>
          </w:p>
        </w:tc>
        <w:tc>
          <w:tcPr>
            <w:tcW w:type="dxa" w:w="1754"/>
            <w:vAlign w:val="top"/>
            <w:tcMar>
              <w:top w:w="45" w:type="dxa"/>
              <w:start w:w="55" w:type="dxa"/>
              <w:bottom w:w="45" w:type="dxa"/>
              <w:end w:w="55" w:type="dxa"/>
            </w:tcMar>
          </w:tcPr>
          <w:p>
            <w:pPr>
              <w:spacing w:after="0" w:line="240" w:lineRule="auto"/>
            </w:pPr>
            <w:r>
              <w:rPr>
                <w:rFonts w:ascii="Arial" w:hAnsi="Arial"/>
                <w:sz w:val="14"/>
              </w:rPr>
              <w:t>0.159385 ± 0.001012</w:t>
            </w:r>
          </w:p>
        </w:tc>
        <w:tc>
          <w:tcPr>
            <w:tcW w:type="dxa" w:w="1754"/>
            <w:vAlign w:val="top"/>
            <w:tcMar>
              <w:top w:w="45" w:type="dxa"/>
              <w:start w:w="55" w:type="dxa"/>
              <w:bottom w:w="45" w:type="dxa"/>
              <w:end w:w="55" w:type="dxa"/>
            </w:tcMar>
          </w:tcPr>
          <w:p>
            <w:pPr>
              <w:spacing w:after="0" w:line="240" w:lineRule="auto"/>
            </w:pPr>
            <w:r>
              <w:rPr>
                <w:rFonts w:ascii="Arial" w:hAnsi="Arial"/>
                <w:sz w:val="14"/>
              </w:rPr>
              <w:t>0.568994 ± 0.006587</w:t>
            </w:r>
          </w:p>
        </w:tc>
        <w:tc>
          <w:tcPr>
            <w:tcW w:type="dxa" w:w="1754"/>
            <w:vAlign w:val="top"/>
            <w:tcMar>
              <w:top w:w="45" w:type="dxa"/>
              <w:start w:w="55" w:type="dxa"/>
              <w:bottom w:w="45" w:type="dxa"/>
              <w:end w:w="55" w:type="dxa"/>
            </w:tcMar>
          </w:tcPr>
          <w:p>
            <w:pPr>
              <w:spacing w:after="0" w:line="240" w:lineRule="auto"/>
            </w:pPr>
            <w:r>
              <w:rPr>
                <w:rFonts w:ascii="Arial" w:hAnsi="Arial"/>
                <w:sz w:val="14"/>
              </w:rPr>
              <w:t>0.536947 ± 0.004595</w:t>
            </w:r>
          </w:p>
        </w:tc>
        <w:tc>
          <w:tcPr>
            <w:tcW w:type="dxa" w:w="1754"/>
            <w:vAlign w:val="top"/>
            <w:tcMar>
              <w:top w:w="45" w:type="dxa"/>
              <w:start w:w="55" w:type="dxa"/>
              <w:bottom w:w="45" w:type="dxa"/>
              <w:end w:w="55" w:type="dxa"/>
            </w:tcMar>
          </w:tcPr>
          <w:p>
            <w:pPr>
              <w:spacing w:after="0" w:line="240" w:lineRule="auto"/>
            </w:pPr>
            <w:r>
              <w:rPr>
                <w:rFonts w:ascii="Arial" w:hAnsi="Arial"/>
                <w:sz w:val="14"/>
              </w:rPr>
              <w:t>0.102679 ± 0.020458</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FDCompCN</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TR30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0.158493 ± 0.022434</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0.571684 ± 0.031001</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0.521757 ± 0.017475</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0.153274 ± 0.027277</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FDCompCN</w:t>
            </w:r>
          </w:p>
        </w:tc>
        <w:tc>
          <w:tcPr>
            <w:tcW w:type="dxa" w:w="1754"/>
            <w:vAlign w:val="top"/>
            <w:tcMar>
              <w:top w:w="45" w:type="dxa"/>
              <w:start w:w="55" w:type="dxa"/>
              <w:bottom w:w="45" w:type="dxa"/>
              <w:end w:w="55" w:type="dxa"/>
            </w:tcMar>
          </w:tcPr>
          <w:p>
            <w:pPr>
              <w:spacing w:after="0" w:line="240" w:lineRule="auto"/>
            </w:pPr>
            <w:r>
              <w:rPr>
                <w:rFonts w:ascii="Arial" w:hAnsi="Arial"/>
                <w:sz w:val="14"/>
              </w:rPr>
              <w:t>TR20</w:t>
            </w:r>
          </w:p>
        </w:tc>
        <w:tc>
          <w:tcPr>
            <w:tcW w:type="dxa" w:w="1754"/>
            <w:vAlign w:val="top"/>
            <w:tcMar>
              <w:top w:w="45" w:type="dxa"/>
              <w:start w:w="55" w:type="dxa"/>
              <w:bottom w:w="45" w:type="dxa"/>
              <w:end w:w="55" w:type="dxa"/>
            </w:tcMar>
          </w:tcPr>
          <w:p>
            <w:pPr>
              <w:spacing w:after="0" w:line="240" w:lineRule="auto"/>
            </w:pPr>
            <w:r>
              <w:rPr>
                <w:rFonts w:ascii="Arial" w:hAnsi="Arial"/>
                <w:sz w:val="14"/>
              </w:rPr>
              <w:t>0.148462 ± 0.003617</w:t>
            </w:r>
          </w:p>
        </w:tc>
        <w:tc>
          <w:tcPr>
            <w:tcW w:type="dxa" w:w="1754"/>
            <w:vAlign w:val="top"/>
            <w:tcMar>
              <w:top w:w="45" w:type="dxa"/>
              <w:start w:w="55" w:type="dxa"/>
              <w:bottom w:w="45" w:type="dxa"/>
              <w:end w:w="55" w:type="dxa"/>
            </w:tcMar>
          </w:tcPr>
          <w:p>
            <w:pPr>
              <w:spacing w:after="0" w:line="240" w:lineRule="auto"/>
            </w:pPr>
            <w:r>
              <w:rPr>
                <w:rFonts w:ascii="Arial" w:hAnsi="Arial"/>
                <w:sz w:val="14"/>
              </w:rPr>
              <w:t>0.575548 ± 0.007511</w:t>
            </w:r>
          </w:p>
        </w:tc>
        <w:tc>
          <w:tcPr>
            <w:tcW w:type="dxa" w:w="1754"/>
            <w:vAlign w:val="top"/>
            <w:tcMar>
              <w:top w:w="45" w:type="dxa"/>
              <w:start w:w="55" w:type="dxa"/>
              <w:bottom w:w="45" w:type="dxa"/>
              <w:end w:w="55" w:type="dxa"/>
            </w:tcMar>
          </w:tcPr>
          <w:p>
            <w:pPr>
              <w:spacing w:after="0" w:line="240" w:lineRule="auto"/>
            </w:pPr>
            <w:r>
              <w:rPr>
                <w:rFonts w:ascii="Arial" w:hAnsi="Arial"/>
                <w:sz w:val="14"/>
              </w:rPr>
              <w:t>0.533241 ± 0.001080</w:t>
            </w:r>
          </w:p>
        </w:tc>
        <w:tc>
          <w:tcPr>
            <w:tcW w:type="dxa" w:w="1754"/>
            <w:vAlign w:val="top"/>
            <w:tcMar>
              <w:top w:w="45" w:type="dxa"/>
              <w:start w:w="55" w:type="dxa"/>
              <w:bottom w:w="45" w:type="dxa"/>
              <w:end w:w="55" w:type="dxa"/>
            </w:tcMar>
          </w:tcPr>
          <w:p>
            <w:pPr>
              <w:spacing w:after="0" w:line="240" w:lineRule="auto"/>
            </w:pPr>
            <w:r>
              <w:rPr>
                <w:rFonts w:ascii="Arial" w:hAnsi="Arial"/>
                <w:sz w:val="14"/>
              </w:rPr>
              <w:t>0.125000 ± 0.042587</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FDCompCN</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TR10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0.130703 ± 0.001394</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0.536356 ± 0.001145</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0.505755 ± 0.005884</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0.130952 ± 0.046466</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Elliptic</w:t>
            </w:r>
          </w:p>
        </w:tc>
        <w:tc>
          <w:tcPr>
            <w:tcW w:type="dxa" w:w="1754"/>
            <w:vAlign w:val="top"/>
            <w:tcMar>
              <w:top w:w="45" w:type="dxa"/>
              <w:start w:w="55" w:type="dxa"/>
              <w:bottom w:w="45" w:type="dxa"/>
              <w:end w:w="55" w:type="dxa"/>
            </w:tcMar>
          </w:tcPr>
          <w:p>
            <w:pPr>
              <w:spacing w:after="0" w:line="240" w:lineRule="auto"/>
            </w:pPr>
            <w:r>
              <w:rPr>
                <w:rFonts w:ascii="Arial" w:hAnsi="Arial"/>
                <w:sz w:val="14"/>
              </w:rPr>
              <w:t>TR40</w:t>
            </w:r>
          </w:p>
        </w:tc>
        <w:tc>
          <w:tcPr>
            <w:tcW w:type="dxa" w:w="1754"/>
            <w:vAlign w:val="top"/>
            <w:tcMar>
              <w:top w:w="45" w:type="dxa"/>
              <w:start w:w="55" w:type="dxa"/>
              <w:bottom w:w="45" w:type="dxa"/>
              <w:end w:w="55" w:type="dxa"/>
            </w:tcMar>
          </w:tcPr>
          <w:p>
            <w:pPr>
              <w:spacing w:after="0" w:line="240" w:lineRule="auto"/>
            </w:pPr>
            <w:r>
              <w:rPr>
                <w:rFonts w:ascii="Arial" w:hAnsi="Arial"/>
                <w:sz w:val="14"/>
              </w:rPr>
              <w:t>0.356382 ± 0.031310</w:t>
            </w:r>
          </w:p>
        </w:tc>
        <w:tc>
          <w:tcPr>
            <w:tcW w:type="dxa" w:w="1754"/>
            <w:vAlign w:val="top"/>
            <w:tcMar>
              <w:top w:w="45" w:type="dxa"/>
              <w:start w:w="55" w:type="dxa"/>
              <w:bottom w:w="45" w:type="dxa"/>
              <w:end w:w="55" w:type="dxa"/>
            </w:tcMar>
          </w:tcPr>
          <w:p>
            <w:pPr>
              <w:spacing w:after="0" w:line="240" w:lineRule="auto"/>
            </w:pPr>
            <w:r>
              <w:rPr>
                <w:rFonts w:ascii="Arial" w:hAnsi="Arial"/>
                <w:sz w:val="14"/>
              </w:rPr>
              <w:t>0.849034 ± 0.011544</w:t>
            </w:r>
          </w:p>
        </w:tc>
        <w:tc>
          <w:tcPr>
            <w:tcW w:type="dxa" w:w="1754"/>
            <w:vAlign w:val="top"/>
            <w:tcMar>
              <w:top w:w="45" w:type="dxa"/>
              <w:start w:w="55" w:type="dxa"/>
              <w:bottom w:w="45" w:type="dxa"/>
              <w:end w:w="55" w:type="dxa"/>
            </w:tcMar>
          </w:tcPr>
          <w:p>
            <w:pPr>
              <w:spacing w:after="0" w:line="240" w:lineRule="auto"/>
            </w:pPr>
            <w:r>
              <w:rPr>
                <w:rFonts w:ascii="Arial" w:hAnsi="Arial"/>
                <w:sz w:val="14"/>
              </w:rPr>
              <w:t>0.659883 ± 0.034556</w:t>
            </w:r>
          </w:p>
        </w:tc>
        <w:tc>
          <w:tcPr>
            <w:tcW w:type="dxa" w:w="1754"/>
            <w:vAlign w:val="top"/>
            <w:tcMar>
              <w:top w:w="45" w:type="dxa"/>
              <w:start w:w="55" w:type="dxa"/>
              <w:bottom w:w="45" w:type="dxa"/>
              <w:end w:w="55" w:type="dxa"/>
            </w:tcMar>
          </w:tcPr>
          <w:p>
            <w:pPr>
              <w:spacing w:after="0" w:line="240" w:lineRule="auto"/>
            </w:pPr>
            <w:r>
              <w:rPr>
                <w:rFonts w:ascii="Arial" w:hAnsi="Arial"/>
                <w:sz w:val="14"/>
              </w:rPr>
              <w:t>0.703479 ± 0.020879</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Elliptic</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TR30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0.413472 ± 0.143492</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0.846310 ± 0.024896</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0.701197 ± 0.079544</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0.570595 ± 0.087286</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Elliptic</w:t>
            </w:r>
          </w:p>
        </w:tc>
        <w:tc>
          <w:tcPr>
            <w:tcW w:type="dxa" w:w="1754"/>
            <w:vAlign w:val="top"/>
            <w:tcMar>
              <w:top w:w="45" w:type="dxa"/>
              <w:start w:w="55" w:type="dxa"/>
              <w:bottom w:w="45" w:type="dxa"/>
              <w:end w:w="55" w:type="dxa"/>
            </w:tcMar>
          </w:tcPr>
          <w:p>
            <w:pPr>
              <w:spacing w:after="0" w:line="240" w:lineRule="auto"/>
            </w:pPr>
            <w:r>
              <w:rPr>
                <w:rFonts w:ascii="Arial" w:hAnsi="Arial"/>
                <w:sz w:val="14"/>
              </w:rPr>
              <w:t>TR20</w:t>
            </w:r>
          </w:p>
        </w:tc>
        <w:tc>
          <w:tcPr>
            <w:tcW w:type="dxa" w:w="1754"/>
            <w:vAlign w:val="top"/>
            <w:tcMar>
              <w:top w:w="45" w:type="dxa"/>
              <w:start w:w="55" w:type="dxa"/>
              <w:bottom w:w="45" w:type="dxa"/>
              <w:end w:w="55" w:type="dxa"/>
            </w:tcMar>
          </w:tcPr>
          <w:p>
            <w:pPr>
              <w:spacing w:after="0" w:line="240" w:lineRule="auto"/>
            </w:pPr>
            <w:r>
              <w:rPr>
                <w:rFonts w:ascii="Arial" w:hAnsi="Arial"/>
                <w:sz w:val="14"/>
              </w:rPr>
              <w:t>0.339803 ± 0.041689</w:t>
            </w:r>
          </w:p>
        </w:tc>
        <w:tc>
          <w:tcPr>
            <w:tcW w:type="dxa" w:w="1754"/>
            <w:vAlign w:val="top"/>
            <w:tcMar>
              <w:top w:w="45" w:type="dxa"/>
              <w:start w:w="55" w:type="dxa"/>
              <w:bottom w:w="45" w:type="dxa"/>
              <w:end w:w="55" w:type="dxa"/>
            </w:tcMar>
          </w:tcPr>
          <w:p>
            <w:pPr>
              <w:spacing w:after="0" w:line="240" w:lineRule="auto"/>
            </w:pPr>
            <w:r>
              <w:rPr>
                <w:rFonts w:ascii="Arial" w:hAnsi="Arial"/>
                <w:sz w:val="14"/>
              </w:rPr>
              <w:t>0.805614 ± 0.035801</w:t>
            </w:r>
          </w:p>
        </w:tc>
        <w:tc>
          <w:tcPr>
            <w:tcW w:type="dxa" w:w="1754"/>
            <w:vAlign w:val="top"/>
            <w:tcMar>
              <w:top w:w="45" w:type="dxa"/>
              <w:start w:w="55" w:type="dxa"/>
              <w:bottom w:w="45" w:type="dxa"/>
              <w:end w:w="55" w:type="dxa"/>
            </w:tcMar>
          </w:tcPr>
          <w:p>
            <w:pPr>
              <w:spacing w:after="0" w:line="240" w:lineRule="auto"/>
            </w:pPr>
            <w:r>
              <w:rPr>
                <w:rFonts w:ascii="Arial" w:hAnsi="Arial"/>
                <w:sz w:val="14"/>
              </w:rPr>
              <w:t>0.657258 ± 0.039291</w:t>
            </w:r>
          </w:p>
        </w:tc>
        <w:tc>
          <w:tcPr>
            <w:tcW w:type="dxa" w:w="1754"/>
            <w:vAlign w:val="top"/>
            <w:tcMar>
              <w:top w:w="45" w:type="dxa"/>
              <w:start w:w="55" w:type="dxa"/>
              <w:bottom w:w="45" w:type="dxa"/>
              <w:end w:w="55" w:type="dxa"/>
            </w:tcMar>
          </w:tcPr>
          <w:p>
            <w:pPr>
              <w:spacing w:after="0" w:line="240" w:lineRule="auto"/>
            </w:pPr>
            <w:r>
              <w:rPr>
                <w:rFonts w:ascii="Arial" w:hAnsi="Arial"/>
                <w:sz w:val="14"/>
              </w:rPr>
              <w:t>0.415264 ± 0.140733</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Elliptic</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TR10</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0.316067 ± 0.006315</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0.782344 ± 0.006818</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0.638750 ± 0.018872</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0.370819 ± 0.089449</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T-Social</w:t>
            </w:r>
          </w:p>
        </w:tc>
        <w:tc>
          <w:tcPr>
            <w:tcW w:type="dxa" w:w="1754"/>
            <w:vAlign w:val="top"/>
            <w:tcMar>
              <w:top w:w="45" w:type="dxa"/>
              <w:start w:w="55" w:type="dxa"/>
              <w:bottom w:w="45" w:type="dxa"/>
              <w:end w:w="55" w:type="dxa"/>
            </w:tcMar>
          </w:tcPr>
          <w:p>
            <w:pPr>
              <w:spacing w:after="0" w:line="240" w:lineRule="auto"/>
            </w:pPr>
            <w:r>
              <w:rPr>
                <w:rFonts w:ascii="Arial" w:hAnsi="Arial"/>
                <w:sz w:val="14"/>
              </w:rPr>
              <w:t>All</w:t>
            </w:r>
          </w:p>
        </w:tc>
        <w:tc>
          <w:tcPr>
            <w:tcW w:type="dxa" w:w="1754"/>
            <w:vAlign w:val="top"/>
            <w:tcMar>
              <w:top w:w="45" w:type="dxa"/>
              <w:start w:w="55" w:type="dxa"/>
              <w:bottom w:w="45" w:type="dxa"/>
              <w:end w:w="55" w:type="dxa"/>
            </w:tcMar>
          </w:tcPr>
          <w:p>
            <w:pPr>
              <w:spacing w:after="0" w:line="240" w:lineRule="auto"/>
            </w:pPr>
            <w:r>
              <w:rPr>
                <w:rFonts w:ascii="Arial" w:hAnsi="Arial"/>
                <w:sz w:val="14"/>
              </w:rPr>
              <w:t>Not available</w:t>
            </w:r>
          </w:p>
        </w:tc>
        <w:tc>
          <w:tcPr>
            <w:tcW w:type="dxa" w:w="1754"/>
            <w:vAlign w:val="top"/>
            <w:tcMar>
              <w:top w:w="45" w:type="dxa"/>
              <w:start w:w="55" w:type="dxa"/>
              <w:bottom w:w="45" w:type="dxa"/>
              <w:end w:w="55" w:type="dxa"/>
            </w:tcMar>
          </w:tcPr>
          <w:p>
            <w:pPr>
              <w:spacing w:after="0" w:line="240" w:lineRule="auto"/>
            </w:pPr>
            <w:r>
              <w:rPr>
                <w:rFonts w:ascii="Arial" w:hAnsi="Arial"/>
                <w:sz w:val="14"/>
              </w:rPr>
              <w:t>Not available</w:t>
            </w:r>
          </w:p>
        </w:tc>
        <w:tc>
          <w:tcPr>
            <w:tcW w:type="dxa" w:w="1754"/>
            <w:vAlign w:val="top"/>
            <w:tcMar>
              <w:top w:w="45" w:type="dxa"/>
              <w:start w:w="55" w:type="dxa"/>
              <w:bottom w:w="45" w:type="dxa"/>
              <w:end w:w="55" w:type="dxa"/>
            </w:tcMar>
          </w:tcPr>
          <w:p>
            <w:pPr>
              <w:spacing w:after="0" w:line="240" w:lineRule="auto"/>
            </w:pPr>
            <w:r>
              <w:rPr>
                <w:rFonts w:ascii="Arial" w:hAnsi="Arial"/>
                <w:sz w:val="14"/>
              </w:rPr>
              <w:t>Not available</w:t>
            </w:r>
          </w:p>
        </w:tc>
        <w:tc>
          <w:tcPr>
            <w:tcW w:type="dxa" w:w="1754"/>
            <w:vAlign w:val="top"/>
            <w:tcMar>
              <w:top w:w="45" w:type="dxa"/>
              <w:start w:w="55" w:type="dxa"/>
              <w:bottom w:w="45" w:type="dxa"/>
              <w:end w:w="55" w:type="dxa"/>
            </w:tcMar>
          </w:tcPr>
          <w:p>
            <w:pPr>
              <w:spacing w:after="0" w:line="240" w:lineRule="auto"/>
            </w:pPr>
            <w:r>
              <w:rPr>
                <w:rFonts w:ascii="Arial" w:hAnsi="Arial"/>
                <w:sz w:val="14"/>
              </w:rPr>
              <w:t>Not available</w:t>
            </w:r>
          </w:p>
        </w:tc>
      </w:tr>
    </w:tbl>
    <w:p>
      <w:pPr>
        <w:spacing w:after="20"/>
      </w:pPr>
    </w:p>
    <w:p>
      <w:pPr>
        <w:spacing w:before="40" w:after="100"/>
      </w:pPr>
      <w:r>
        <w:rPr>
          <w:i/>
          <w:color w:val="666666"/>
          <w:sz w:val="16"/>
        </w:rPr>
        <w:t>Values are mean ± sample standard deviation over training seeds 2, 42, and 72. Higher is better. T-Social has no performance row because the full-graph model did not complete training on the controlled T4.</w:t>
      </w:r>
    </w:p>
    <w:p>
      <w:pPr>
        <w:pStyle w:val="Heading1"/>
      </w:pPr>
      <w:r>
        <w:t>5. GADBench-style cross-dataset AUPRC view</w:t>
      </w:r>
    </w:p>
    <w:tbl>
      <w:tblPr>
        <w:tblW w:type="auto" w:w="0"/>
        <w:jc w:val="center"/>
        <w:tblLayout w:type="fixed"/>
        <w:tblLook w:firstColumn="1" w:firstRow="1" w:lastColumn="0" w:lastRow="0" w:noHBand="0" w:noVBand="1" w:val="04A0"/>
        <w:tblBorders>
          <w:top w:val="single" w:sz="4" w:color="555555"/>
          <w:left w:val="single" w:sz="4" w:color="555555"/>
          <w:bottom w:val="single" w:sz="4" w:color="555555"/>
          <w:right w:val="single" w:sz="4" w:color="555555"/>
          <w:insideH w:val="single" w:sz="4" w:color="555555"/>
          <w:insideV w:val="single" w:sz="4" w:color="555555"/>
        </w:tblBorders>
      </w:tblPr>
      <w:tblGrid>
        <w:gridCol w:w="1503"/>
        <w:gridCol w:w="1503"/>
        <w:gridCol w:w="1503"/>
        <w:gridCol w:w="1503"/>
        <w:gridCol w:w="1503"/>
        <w:gridCol w:w="1503"/>
        <w:gridCol w:w="1503"/>
      </w:tblGrid>
      <w:tr>
        <w:trPr>
          <w:tblHeader w:val="true"/>
        </w:trPr>
        <w:tc>
          <w:tcPr>
            <w:tcW w:type="dxa" w:w="1503"/>
            <w:shd w:fill="7A1F3D"/>
            <w:vAlign w:val="center"/>
            <w:tcMar>
              <w:top w:w="45" w:type="dxa"/>
              <w:start w:w="55" w:type="dxa"/>
              <w:bottom w:w="45" w:type="dxa"/>
              <w:end w:w="55" w:type="dxa"/>
            </w:tcMar>
          </w:tcPr>
          <w:p>
            <w:pPr>
              <w:spacing w:after="0"/>
            </w:pPr>
            <w:r>
              <w:rPr>
                <w:rFonts w:ascii="Arial" w:hAnsi="Arial"/>
                <w:b/>
                <w:color w:val="FFFFFF"/>
                <w:sz w:val="14"/>
              </w:rPr>
              <w:t>Train subset</w:t>
            </w:r>
          </w:p>
        </w:tc>
        <w:tc>
          <w:tcPr>
            <w:tcW w:type="dxa" w:w="1503"/>
            <w:shd w:fill="7A1F3D"/>
            <w:vAlign w:val="center"/>
            <w:tcMar>
              <w:top w:w="45" w:type="dxa"/>
              <w:start w:w="55" w:type="dxa"/>
              <w:bottom w:w="45" w:type="dxa"/>
              <w:end w:w="55" w:type="dxa"/>
            </w:tcMar>
          </w:tcPr>
          <w:p>
            <w:pPr>
              <w:spacing w:after="0"/>
            </w:pPr>
            <w:r>
              <w:rPr>
                <w:rFonts w:ascii="Arial" w:hAnsi="Arial"/>
                <w:b/>
                <w:color w:val="FFFFFF"/>
                <w:sz w:val="14"/>
              </w:rPr>
              <w:t>YelpChi</w:t>
            </w:r>
          </w:p>
        </w:tc>
        <w:tc>
          <w:tcPr>
            <w:tcW w:type="dxa" w:w="1503"/>
            <w:shd w:fill="7A1F3D"/>
            <w:vAlign w:val="center"/>
            <w:tcMar>
              <w:top w:w="45" w:type="dxa"/>
              <w:start w:w="55" w:type="dxa"/>
              <w:bottom w:w="45" w:type="dxa"/>
              <w:end w:w="55" w:type="dxa"/>
            </w:tcMar>
          </w:tcPr>
          <w:p>
            <w:pPr>
              <w:spacing w:after="0"/>
            </w:pPr>
            <w:r>
              <w:rPr>
                <w:rFonts w:ascii="Arial" w:hAnsi="Arial"/>
                <w:b/>
                <w:color w:val="FFFFFF"/>
                <w:sz w:val="14"/>
              </w:rPr>
              <w:t>Amazon</w:t>
            </w:r>
          </w:p>
        </w:tc>
        <w:tc>
          <w:tcPr>
            <w:tcW w:type="dxa" w:w="1503"/>
            <w:shd w:fill="7A1F3D"/>
            <w:vAlign w:val="center"/>
            <w:tcMar>
              <w:top w:w="45" w:type="dxa"/>
              <w:start w:w="55" w:type="dxa"/>
              <w:bottom w:w="45" w:type="dxa"/>
              <w:end w:w="55" w:type="dxa"/>
            </w:tcMar>
          </w:tcPr>
          <w:p>
            <w:pPr>
              <w:spacing w:after="0"/>
            </w:pPr>
            <w:r>
              <w:rPr>
                <w:rFonts w:ascii="Arial" w:hAnsi="Arial"/>
                <w:b/>
                <w:color w:val="FFFFFF"/>
                <w:sz w:val="14"/>
              </w:rPr>
              <w:t>T-Finance</w:t>
            </w:r>
          </w:p>
        </w:tc>
        <w:tc>
          <w:tcPr>
            <w:tcW w:type="dxa" w:w="1503"/>
            <w:shd w:fill="7A1F3D"/>
            <w:vAlign w:val="center"/>
            <w:tcMar>
              <w:top w:w="45" w:type="dxa"/>
              <w:start w:w="55" w:type="dxa"/>
              <w:bottom w:w="45" w:type="dxa"/>
              <w:end w:w="55" w:type="dxa"/>
            </w:tcMar>
          </w:tcPr>
          <w:p>
            <w:pPr>
              <w:spacing w:after="0"/>
            </w:pPr>
            <w:r>
              <w:rPr>
                <w:rFonts w:ascii="Arial" w:hAnsi="Arial"/>
                <w:b/>
                <w:color w:val="FFFFFF"/>
                <w:sz w:val="14"/>
              </w:rPr>
              <w:t>T-Social</w:t>
            </w:r>
          </w:p>
        </w:tc>
        <w:tc>
          <w:tcPr>
            <w:tcW w:type="dxa" w:w="1503"/>
            <w:shd w:fill="7A1F3D"/>
            <w:vAlign w:val="center"/>
            <w:tcMar>
              <w:top w:w="45" w:type="dxa"/>
              <w:start w:w="55" w:type="dxa"/>
              <w:bottom w:w="45" w:type="dxa"/>
              <w:end w:w="55" w:type="dxa"/>
            </w:tcMar>
          </w:tcPr>
          <w:p>
            <w:pPr>
              <w:spacing w:after="0"/>
            </w:pPr>
            <w:r>
              <w:rPr>
                <w:rFonts w:ascii="Arial" w:hAnsi="Arial"/>
                <w:b/>
                <w:color w:val="FFFFFF"/>
                <w:sz w:val="14"/>
              </w:rPr>
              <w:t>FDCompCN</w:t>
            </w:r>
          </w:p>
        </w:tc>
        <w:tc>
          <w:tcPr>
            <w:tcW w:type="dxa" w:w="1503"/>
            <w:shd w:fill="7A1F3D"/>
            <w:vAlign w:val="center"/>
            <w:tcMar>
              <w:top w:w="45" w:type="dxa"/>
              <w:start w:w="55" w:type="dxa"/>
              <w:bottom w:w="45" w:type="dxa"/>
              <w:end w:w="55" w:type="dxa"/>
            </w:tcMar>
          </w:tcPr>
          <w:p>
            <w:pPr>
              <w:spacing w:after="0"/>
            </w:pPr>
            <w:r>
              <w:rPr>
                <w:rFonts w:ascii="Arial" w:hAnsi="Arial"/>
                <w:b/>
                <w:color w:val="FFFFFF"/>
                <w:sz w:val="14"/>
              </w:rPr>
              <w:t>Elliptic</w:t>
            </w:r>
          </w:p>
        </w:tc>
      </w:tr>
      <w:tr>
        <w:trPr>
          <w:cantSplit/>
        </w:trPr>
        <w:tc>
          <w:tcPr>
            <w:tcW w:type="dxa" w:w="1503"/>
            <w:vAlign w:val="top"/>
            <w:tcMar>
              <w:top w:w="45" w:type="dxa"/>
              <w:start w:w="55" w:type="dxa"/>
              <w:bottom w:w="45" w:type="dxa"/>
              <w:end w:w="55" w:type="dxa"/>
            </w:tcMar>
          </w:tcPr>
          <w:p>
            <w:pPr>
              <w:spacing w:after="0" w:line="240" w:lineRule="auto"/>
            </w:pPr>
            <w:r>
              <w:rPr>
                <w:rFonts w:ascii="Arial" w:hAnsi="Arial"/>
                <w:b/>
                <w:sz w:val="14"/>
              </w:rPr>
              <w:t>TR40</w:t>
            </w:r>
          </w:p>
        </w:tc>
        <w:tc>
          <w:tcPr>
            <w:tcW w:type="dxa" w:w="1503"/>
            <w:vAlign w:val="top"/>
            <w:tcMar>
              <w:top w:w="45" w:type="dxa"/>
              <w:start w:w="55" w:type="dxa"/>
              <w:bottom w:w="45" w:type="dxa"/>
              <w:end w:w="55" w:type="dxa"/>
            </w:tcMar>
          </w:tcPr>
          <w:p>
            <w:pPr>
              <w:spacing w:after="0" w:line="240" w:lineRule="auto"/>
            </w:pPr>
            <w:r>
              <w:rPr>
                <w:rFonts w:ascii="Arial" w:hAnsi="Arial"/>
                <w:sz w:val="14"/>
              </w:rPr>
              <w:t>0.535571 ± 0.008302</w:t>
            </w:r>
          </w:p>
        </w:tc>
        <w:tc>
          <w:tcPr>
            <w:tcW w:type="dxa" w:w="1503"/>
            <w:vAlign w:val="top"/>
            <w:tcMar>
              <w:top w:w="45" w:type="dxa"/>
              <w:start w:w="55" w:type="dxa"/>
              <w:bottom w:w="45" w:type="dxa"/>
              <w:end w:w="55" w:type="dxa"/>
            </w:tcMar>
          </w:tcPr>
          <w:p>
            <w:pPr>
              <w:spacing w:after="0" w:line="240" w:lineRule="auto"/>
            </w:pPr>
            <w:r>
              <w:rPr>
                <w:rFonts w:ascii="Arial" w:hAnsi="Arial"/>
                <w:sz w:val="14"/>
              </w:rPr>
              <w:t>0.887772 ± 0.014411</w:t>
            </w:r>
          </w:p>
        </w:tc>
        <w:tc>
          <w:tcPr>
            <w:tcW w:type="dxa" w:w="1503"/>
            <w:vAlign w:val="top"/>
            <w:tcMar>
              <w:top w:w="45" w:type="dxa"/>
              <w:start w:w="55" w:type="dxa"/>
              <w:bottom w:w="45" w:type="dxa"/>
              <w:end w:w="55" w:type="dxa"/>
            </w:tcMar>
          </w:tcPr>
          <w:p>
            <w:pPr>
              <w:spacing w:after="0" w:line="240" w:lineRule="auto"/>
            </w:pPr>
            <w:r>
              <w:rPr>
                <w:rFonts w:ascii="Arial" w:hAnsi="Arial"/>
                <w:sz w:val="14"/>
              </w:rPr>
              <w:t>0.702817 ± 0.130686</w:t>
            </w:r>
          </w:p>
        </w:tc>
        <w:tc>
          <w:tcPr>
            <w:tcW w:type="dxa" w:w="1503"/>
            <w:vAlign w:val="top"/>
            <w:tcMar>
              <w:top w:w="45" w:type="dxa"/>
              <w:start w:w="55" w:type="dxa"/>
              <w:bottom w:w="45" w:type="dxa"/>
              <w:end w:w="55" w:type="dxa"/>
            </w:tcMar>
          </w:tcPr>
          <w:p>
            <w:pPr>
              <w:spacing w:after="0" w:line="240" w:lineRule="auto"/>
            </w:pPr>
            <w:r>
              <w:rPr>
                <w:rFonts w:ascii="Arial" w:hAnsi="Arial"/>
                <w:sz w:val="14"/>
              </w:rPr>
              <w:t>N/A — T4 OOM</w:t>
            </w:r>
          </w:p>
        </w:tc>
        <w:tc>
          <w:tcPr>
            <w:tcW w:type="dxa" w:w="1503"/>
            <w:vAlign w:val="top"/>
            <w:tcMar>
              <w:top w:w="45" w:type="dxa"/>
              <w:start w:w="55" w:type="dxa"/>
              <w:bottom w:w="45" w:type="dxa"/>
              <w:end w:w="55" w:type="dxa"/>
            </w:tcMar>
          </w:tcPr>
          <w:p>
            <w:pPr>
              <w:spacing w:after="0" w:line="240" w:lineRule="auto"/>
            </w:pPr>
            <w:r>
              <w:rPr>
                <w:rFonts w:ascii="Arial" w:hAnsi="Arial"/>
                <w:sz w:val="14"/>
              </w:rPr>
              <w:t>0.159385 ± 0.001012</w:t>
            </w:r>
          </w:p>
        </w:tc>
        <w:tc>
          <w:tcPr>
            <w:tcW w:type="dxa" w:w="1503"/>
            <w:vAlign w:val="top"/>
            <w:tcMar>
              <w:top w:w="45" w:type="dxa"/>
              <w:start w:w="55" w:type="dxa"/>
              <w:bottom w:w="45" w:type="dxa"/>
              <w:end w:w="55" w:type="dxa"/>
            </w:tcMar>
          </w:tcPr>
          <w:p>
            <w:pPr>
              <w:spacing w:after="0" w:line="240" w:lineRule="auto"/>
            </w:pPr>
            <w:r>
              <w:rPr>
                <w:rFonts w:ascii="Arial" w:hAnsi="Arial"/>
                <w:sz w:val="14"/>
              </w:rPr>
              <w:t>0.356382 ± 0.031310</w:t>
            </w:r>
          </w:p>
        </w:tc>
      </w:tr>
      <w:tr>
        <w:trPr>
          <w:cantSplit/>
        </w:trPr>
        <w:tc>
          <w:tcPr>
            <w:tcW w:type="dxa" w:w="1503"/>
            <w:vAlign w:val="top"/>
            <w:tcMar>
              <w:top w:w="45" w:type="dxa"/>
              <w:start w:w="55" w:type="dxa"/>
              <w:bottom w:w="45" w:type="dxa"/>
              <w:end w:w="55" w:type="dxa"/>
            </w:tcMar>
            <w:shd w:fill="F3EDEE"/>
          </w:tcPr>
          <w:p>
            <w:pPr>
              <w:spacing w:after="0" w:line="240" w:lineRule="auto"/>
            </w:pPr>
            <w:r>
              <w:rPr>
                <w:rFonts w:ascii="Arial" w:hAnsi="Arial"/>
                <w:b/>
                <w:sz w:val="14"/>
              </w:rPr>
              <w:t>TR30</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0.509155 ± 0.004291</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0.872878 ± 0.007379</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0.804245 ± 0.097219</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N/A — T4 OOM</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0.158493 ± 0.022434</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0.413472 ± 0.143492</w:t>
            </w:r>
          </w:p>
        </w:tc>
      </w:tr>
      <w:tr>
        <w:trPr>
          <w:cantSplit/>
        </w:trPr>
        <w:tc>
          <w:tcPr>
            <w:tcW w:type="dxa" w:w="1503"/>
            <w:vAlign w:val="top"/>
            <w:tcMar>
              <w:top w:w="45" w:type="dxa"/>
              <w:start w:w="55" w:type="dxa"/>
              <w:bottom w:w="45" w:type="dxa"/>
              <w:end w:w="55" w:type="dxa"/>
            </w:tcMar>
          </w:tcPr>
          <w:p>
            <w:pPr>
              <w:spacing w:after="0" w:line="240" w:lineRule="auto"/>
            </w:pPr>
            <w:r>
              <w:rPr>
                <w:rFonts w:ascii="Arial" w:hAnsi="Arial"/>
                <w:b/>
                <w:sz w:val="14"/>
              </w:rPr>
              <w:t>TR20</w:t>
            </w:r>
          </w:p>
        </w:tc>
        <w:tc>
          <w:tcPr>
            <w:tcW w:type="dxa" w:w="1503"/>
            <w:vAlign w:val="top"/>
            <w:tcMar>
              <w:top w:w="45" w:type="dxa"/>
              <w:start w:w="55" w:type="dxa"/>
              <w:bottom w:w="45" w:type="dxa"/>
              <w:end w:w="55" w:type="dxa"/>
            </w:tcMar>
          </w:tcPr>
          <w:p>
            <w:pPr>
              <w:spacing w:after="0" w:line="240" w:lineRule="auto"/>
            </w:pPr>
            <w:r>
              <w:rPr>
                <w:rFonts w:ascii="Arial" w:hAnsi="Arial"/>
                <w:sz w:val="14"/>
              </w:rPr>
              <w:t>0.462400 ± 0.005879</w:t>
            </w:r>
          </w:p>
        </w:tc>
        <w:tc>
          <w:tcPr>
            <w:tcW w:type="dxa" w:w="1503"/>
            <w:vAlign w:val="top"/>
            <w:tcMar>
              <w:top w:w="45" w:type="dxa"/>
              <w:start w:w="55" w:type="dxa"/>
              <w:bottom w:w="45" w:type="dxa"/>
              <w:end w:w="55" w:type="dxa"/>
            </w:tcMar>
          </w:tcPr>
          <w:p>
            <w:pPr>
              <w:spacing w:after="0" w:line="240" w:lineRule="auto"/>
            </w:pPr>
            <w:r>
              <w:rPr>
                <w:rFonts w:ascii="Arial" w:hAnsi="Arial"/>
                <w:sz w:val="14"/>
              </w:rPr>
              <w:t>0.882793 ± 0.005247</w:t>
            </w:r>
          </w:p>
        </w:tc>
        <w:tc>
          <w:tcPr>
            <w:tcW w:type="dxa" w:w="1503"/>
            <w:vAlign w:val="top"/>
            <w:tcMar>
              <w:top w:w="45" w:type="dxa"/>
              <w:start w:w="55" w:type="dxa"/>
              <w:bottom w:w="45" w:type="dxa"/>
              <w:end w:w="55" w:type="dxa"/>
            </w:tcMar>
          </w:tcPr>
          <w:p>
            <w:pPr>
              <w:spacing w:after="0" w:line="240" w:lineRule="auto"/>
            </w:pPr>
            <w:r>
              <w:rPr>
                <w:rFonts w:ascii="Arial" w:hAnsi="Arial"/>
                <w:sz w:val="14"/>
              </w:rPr>
              <w:t>0.794517 ± 0.109954</w:t>
            </w:r>
          </w:p>
        </w:tc>
        <w:tc>
          <w:tcPr>
            <w:tcW w:type="dxa" w:w="1503"/>
            <w:vAlign w:val="top"/>
            <w:tcMar>
              <w:top w:w="45" w:type="dxa"/>
              <w:start w:w="55" w:type="dxa"/>
              <w:bottom w:w="45" w:type="dxa"/>
              <w:end w:w="55" w:type="dxa"/>
            </w:tcMar>
          </w:tcPr>
          <w:p>
            <w:pPr>
              <w:spacing w:after="0" w:line="240" w:lineRule="auto"/>
            </w:pPr>
            <w:r>
              <w:rPr>
                <w:rFonts w:ascii="Arial" w:hAnsi="Arial"/>
                <w:sz w:val="14"/>
              </w:rPr>
              <w:t>N/A — T4 OOM</w:t>
            </w:r>
          </w:p>
        </w:tc>
        <w:tc>
          <w:tcPr>
            <w:tcW w:type="dxa" w:w="1503"/>
            <w:vAlign w:val="top"/>
            <w:tcMar>
              <w:top w:w="45" w:type="dxa"/>
              <w:start w:w="55" w:type="dxa"/>
              <w:bottom w:w="45" w:type="dxa"/>
              <w:end w:w="55" w:type="dxa"/>
            </w:tcMar>
          </w:tcPr>
          <w:p>
            <w:pPr>
              <w:spacing w:after="0" w:line="240" w:lineRule="auto"/>
            </w:pPr>
            <w:r>
              <w:rPr>
                <w:rFonts w:ascii="Arial" w:hAnsi="Arial"/>
                <w:sz w:val="14"/>
              </w:rPr>
              <w:t>0.148462 ± 0.003617</w:t>
            </w:r>
          </w:p>
        </w:tc>
        <w:tc>
          <w:tcPr>
            <w:tcW w:type="dxa" w:w="1503"/>
            <w:vAlign w:val="top"/>
            <w:tcMar>
              <w:top w:w="45" w:type="dxa"/>
              <w:start w:w="55" w:type="dxa"/>
              <w:bottom w:w="45" w:type="dxa"/>
              <w:end w:w="55" w:type="dxa"/>
            </w:tcMar>
          </w:tcPr>
          <w:p>
            <w:pPr>
              <w:spacing w:after="0" w:line="240" w:lineRule="auto"/>
            </w:pPr>
            <w:r>
              <w:rPr>
                <w:rFonts w:ascii="Arial" w:hAnsi="Arial"/>
                <w:sz w:val="14"/>
              </w:rPr>
              <w:t>0.339803 ± 0.041689</w:t>
            </w:r>
          </w:p>
        </w:tc>
      </w:tr>
      <w:tr>
        <w:trPr>
          <w:cantSplit/>
        </w:trPr>
        <w:tc>
          <w:tcPr>
            <w:tcW w:type="dxa" w:w="1503"/>
            <w:vAlign w:val="top"/>
            <w:tcMar>
              <w:top w:w="45" w:type="dxa"/>
              <w:start w:w="55" w:type="dxa"/>
              <w:bottom w:w="45" w:type="dxa"/>
              <w:end w:w="55" w:type="dxa"/>
            </w:tcMar>
            <w:shd w:fill="F3EDEE"/>
          </w:tcPr>
          <w:p>
            <w:pPr>
              <w:spacing w:after="0" w:line="240" w:lineRule="auto"/>
            </w:pPr>
            <w:r>
              <w:rPr>
                <w:rFonts w:ascii="Arial" w:hAnsi="Arial"/>
                <w:b/>
                <w:sz w:val="14"/>
              </w:rPr>
              <w:t>TR10</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0.417143 ± 0.012464</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0.851186 ± 0.009159</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0.848481 ± 0.013315</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N/A — T4 OOM</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0.130703 ± 0.001394</w:t>
            </w:r>
          </w:p>
        </w:tc>
        <w:tc>
          <w:tcPr>
            <w:tcW w:type="dxa" w:w="1503"/>
            <w:vAlign w:val="top"/>
            <w:tcMar>
              <w:top w:w="45" w:type="dxa"/>
              <w:start w:w="55" w:type="dxa"/>
              <w:bottom w:w="45" w:type="dxa"/>
              <w:end w:w="55" w:type="dxa"/>
            </w:tcMar>
            <w:shd w:fill="F3EDEE"/>
          </w:tcPr>
          <w:p>
            <w:pPr>
              <w:spacing w:after="0" w:line="240" w:lineRule="auto"/>
            </w:pPr>
            <w:r>
              <w:rPr>
                <w:rFonts w:ascii="Arial" w:hAnsi="Arial"/>
                <w:sz w:val="14"/>
              </w:rPr>
              <w:t>0.316067 ± 0.006315</w:t>
            </w:r>
          </w:p>
        </w:tc>
      </w:tr>
    </w:tbl>
    <w:p>
      <w:pPr>
        <w:spacing w:after="20"/>
      </w:pPr>
    </w:p>
    <w:p>
      <w:pPr>
        <w:spacing w:before="40" w:after="100"/>
      </w:pPr>
      <w:r>
        <w:rPr>
          <w:i/>
          <w:color w:val="666666"/>
          <w:sz w:val="16"/>
        </w:rPr>
        <w:t>This table mirrors GADBench's compact cross-dataset comparison idea without copying its table structure. AUPRC is used as the primary comparison view because every dataset is class-imbalanced and fraud is the positive class.</w:t>
      </w:r>
    </w:p>
    <w:p>
      <w:pPr>
        <w:pStyle w:val="Heading1"/>
      </w:pPr>
      <w:r>
        <w:t>6. Computational efficiency at TR40</w:t>
      </w:r>
    </w:p>
    <w:tbl>
      <w:tblPr>
        <w:tblW w:type="auto" w:w="0"/>
        <w:jc w:val="center"/>
        <w:tblLayout w:type="fixed"/>
        <w:tblLook w:firstColumn="1" w:firstRow="1" w:lastColumn="0" w:lastRow="0" w:noHBand="0" w:noVBand="1" w:val="04A0"/>
        <w:tblBorders>
          <w:top w:val="single" w:sz="4" w:color="555555"/>
          <w:left w:val="single" w:sz="4" w:color="555555"/>
          <w:bottom w:val="single" w:sz="4" w:color="555555"/>
          <w:right w:val="single" w:sz="4" w:color="555555"/>
          <w:insideH w:val="single" w:sz="4" w:color="555555"/>
          <w:insideV w:val="single" w:sz="4" w:color="555555"/>
        </w:tblBorders>
      </w:tblPr>
      <w:tblGrid>
        <w:gridCol w:w="1754"/>
        <w:gridCol w:w="1754"/>
        <w:gridCol w:w="1754"/>
        <w:gridCol w:w="1754"/>
        <w:gridCol w:w="1754"/>
        <w:gridCol w:w="1754"/>
      </w:tblGrid>
      <w:tr>
        <w:trPr>
          <w:tblHeader w:val="true"/>
        </w:trPr>
        <w:tc>
          <w:tcPr>
            <w:tcW w:type="dxa" w:w="1754"/>
            <w:shd w:fill="7A1F3D"/>
            <w:vAlign w:val="center"/>
            <w:tcMar>
              <w:top w:w="45" w:type="dxa"/>
              <w:start w:w="55" w:type="dxa"/>
              <w:bottom w:w="45" w:type="dxa"/>
              <w:end w:w="55" w:type="dxa"/>
            </w:tcMar>
          </w:tcPr>
          <w:p>
            <w:pPr>
              <w:spacing w:after="0"/>
            </w:pPr>
            <w:r>
              <w:rPr>
                <w:rFonts w:ascii="Arial" w:hAnsi="Arial"/>
                <w:b/>
                <w:color w:val="FFFFFF"/>
                <w:sz w:val="14"/>
              </w:rPr>
              <w:t>Dataset</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Mean train / epoch</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Total train</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Inference latency</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Peak GPU memory</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Evidence note</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YelpChi</w:t>
            </w:r>
          </w:p>
        </w:tc>
        <w:tc>
          <w:tcPr>
            <w:tcW w:type="dxa" w:w="1754"/>
            <w:vAlign w:val="top"/>
            <w:tcMar>
              <w:top w:w="45" w:type="dxa"/>
              <w:start w:w="55" w:type="dxa"/>
              <w:bottom w:w="45" w:type="dxa"/>
              <w:end w:w="55" w:type="dxa"/>
            </w:tcMar>
          </w:tcPr>
          <w:p>
            <w:pPr>
              <w:spacing w:after="0" w:line="240" w:lineRule="auto"/>
            </w:pPr>
            <w:r>
              <w:rPr>
                <w:rFonts w:ascii="Arial" w:hAnsi="Arial"/>
                <w:sz w:val="14"/>
              </w:rPr>
              <w:t>0.131106 ± 0.003565 s</w:t>
            </w:r>
          </w:p>
        </w:tc>
        <w:tc>
          <w:tcPr>
            <w:tcW w:type="dxa" w:w="1754"/>
            <w:vAlign w:val="top"/>
            <w:tcMar>
              <w:top w:w="45" w:type="dxa"/>
              <w:start w:w="55" w:type="dxa"/>
              <w:bottom w:w="45" w:type="dxa"/>
              <w:end w:w="55" w:type="dxa"/>
            </w:tcMar>
          </w:tcPr>
          <w:p>
            <w:pPr>
              <w:spacing w:after="0" w:line="240" w:lineRule="auto"/>
            </w:pPr>
            <w:r>
              <w:rPr>
                <w:rFonts w:ascii="Arial" w:hAnsi="Arial"/>
                <w:sz w:val="14"/>
              </w:rPr>
              <w:t>13.110626 ± 0.356474 s</w:t>
            </w:r>
          </w:p>
        </w:tc>
        <w:tc>
          <w:tcPr>
            <w:tcW w:type="dxa" w:w="1754"/>
            <w:vAlign w:val="top"/>
            <w:tcMar>
              <w:top w:w="45" w:type="dxa"/>
              <w:start w:w="55" w:type="dxa"/>
              <w:bottom w:w="45" w:type="dxa"/>
              <w:end w:w="55" w:type="dxa"/>
            </w:tcMar>
          </w:tcPr>
          <w:p>
            <w:pPr>
              <w:spacing w:after="0" w:line="240" w:lineRule="auto"/>
            </w:pPr>
            <w:r>
              <w:rPr>
                <w:rFonts w:ascii="Arial" w:hAnsi="Arial"/>
                <w:sz w:val="14"/>
              </w:rPr>
              <w:t>65.859694 ± 2.359281 ms</w:t>
            </w:r>
          </w:p>
        </w:tc>
        <w:tc>
          <w:tcPr>
            <w:tcW w:type="dxa" w:w="1754"/>
            <w:vAlign w:val="top"/>
            <w:tcMar>
              <w:top w:w="45" w:type="dxa"/>
              <w:start w:w="55" w:type="dxa"/>
              <w:bottom w:w="45" w:type="dxa"/>
              <w:end w:w="55" w:type="dxa"/>
            </w:tcMar>
          </w:tcPr>
          <w:p>
            <w:pPr>
              <w:spacing w:after="0" w:line="240" w:lineRule="auto"/>
            </w:pPr>
            <w:r>
              <w:rPr>
                <w:rFonts w:ascii="Arial" w:hAnsi="Arial"/>
                <w:sz w:val="14"/>
              </w:rPr>
              <w:t>576.24 ± 90.33 MB</w:t>
            </w:r>
          </w:p>
        </w:tc>
        <w:tc>
          <w:tcPr>
            <w:tcW w:type="dxa" w:w="1754"/>
            <w:vAlign w:val="top"/>
            <w:tcMar>
              <w:top w:w="45" w:type="dxa"/>
              <w:start w:w="55" w:type="dxa"/>
              <w:bottom w:w="45" w:type="dxa"/>
              <w:end w:w="55" w:type="dxa"/>
            </w:tcMar>
          </w:tcPr>
          <w:p>
            <w:pPr>
              <w:spacing w:after="0" w:line="240" w:lineRule="auto"/>
            </w:pPr>
            <w:r>
              <w:rPr>
                <w:rFonts w:ascii="Arial" w:hAnsi="Arial"/>
                <w:sz w:val="14"/>
              </w:rPr>
              <w:t>Supplemental timing backfill; Step 15 performance unchanged</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Amazon</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0.049352 ± 0.000438 s</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4.295912 ± 0.743903 s</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24.847235 ± 0.253237 ms</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534.96 ± 126.30 MB</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Supplemental timing backfill; Step 19 performance unchanged</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T-Finance</w:t>
            </w:r>
          </w:p>
        </w:tc>
        <w:tc>
          <w:tcPr>
            <w:tcW w:type="dxa" w:w="1754"/>
            <w:vAlign w:val="top"/>
            <w:tcMar>
              <w:top w:w="45" w:type="dxa"/>
              <w:start w:w="55" w:type="dxa"/>
              <w:bottom w:w="45" w:type="dxa"/>
              <w:end w:w="55" w:type="dxa"/>
            </w:tcMar>
          </w:tcPr>
          <w:p>
            <w:pPr>
              <w:spacing w:after="0" w:line="240" w:lineRule="auto"/>
            </w:pPr>
            <w:r>
              <w:rPr>
                <w:rFonts w:ascii="Arial" w:hAnsi="Arial"/>
                <w:sz w:val="14"/>
              </w:rPr>
              <w:t>0.665238 ± 0.065551 s</w:t>
            </w:r>
          </w:p>
        </w:tc>
        <w:tc>
          <w:tcPr>
            <w:tcW w:type="dxa" w:w="1754"/>
            <w:vAlign w:val="top"/>
            <w:tcMar>
              <w:top w:w="45" w:type="dxa"/>
              <w:start w:w="55" w:type="dxa"/>
              <w:bottom w:w="45" w:type="dxa"/>
              <w:end w:w="55" w:type="dxa"/>
            </w:tcMar>
          </w:tcPr>
          <w:p>
            <w:pPr>
              <w:spacing w:after="0" w:line="240" w:lineRule="auto"/>
            </w:pPr>
            <w:r>
              <w:rPr>
                <w:rFonts w:ascii="Arial" w:hAnsi="Arial"/>
                <w:sz w:val="14"/>
              </w:rPr>
              <w:t>29.195167 ± 15.367312 s</w:t>
            </w:r>
          </w:p>
        </w:tc>
        <w:tc>
          <w:tcPr>
            <w:tcW w:type="dxa" w:w="1754"/>
            <w:vAlign w:val="top"/>
            <w:tcMar>
              <w:top w:w="45" w:type="dxa"/>
              <w:start w:w="55" w:type="dxa"/>
              <w:bottom w:w="45" w:type="dxa"/>
              <w:end w:w="55" w:type="dxa"/>
            </w:tcMar>
          </w:tcPr>
          <w:p>
            <w:pPr>
              <w:spacing w:after="0" w:line="240" w:lineRule="auto"/>
            </w:pPr>
            <w:r>
              <w:rPr>
                <w:rFonts w:ascii="Arial" w:hAnsi="Arial"/>
                <w:sz w:val="14"/>
              </w:rPr>
              <w:t>338.641478 ± 26.931364 ms</w:t>
            </w:r>
          </w:p>
        </w:tc>
        <w:tc>
          <w:tcPr>
            <w:tcW w:type="dxa" w:w="1754"/>
            <w:vAlign w:val="top"/>
            <w:tcMar>
              <w:top w:w="45" w:type="dxa"/>
              <w:start w:w="55" w:type="dxa"/>
              <w:bottom w:w="45" w:type="dxa"/>
              <w:end w:w="55" w:type="dxa"/>
            </w:tcMar>
          </w:tcPr>
          <w:p>
            <w:pPr>
              <w:spacing w:after="0" w:line="240" w:lineRule="auto"/>
            </w:pPr>
            <w:r>
              <w:rPr>
                <w:rFonts w:ascii="Arial" w:hAnsi="Arial"/>
                <w:sz w:val="14"/>
              </w:rPr>
              <w:t>2385.91 ± 546.73 MB</w:t>
            </w:r>
          </w:p>
        </w:tc>
        <w:tc>
          <w:tcPr>
            <w:tcW w:type="dxa" w:w="1754"/>
            <w:vAlign w:val="top"/>
            <w:tcMar>
              <w:top w:w="45" w:type="dxa"/>
              <w:start w:w="55" w:type="dxa"/>
              <w:bottom w:w="45" w:type="dxa"/>
              <w:end w:w="55" w:type="dxa"/>
            </w:tcMar>
          </w:tcPr>
          <w:p>
            <w:pPr>
              <w:spacing w:after="0" w:line="240" w:lineRule="auto"/>
            </w:pPr>
            <w:r>
              <w:rPr>
                <w:rFonts w:ascii="Arial" w:hAnsi="Arial"/>
                <w:sz w:val="14"/>
              </w:rPr>
              <w:t>Primary timed final runs</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T-Social</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T4 OOM</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No completed full-graph training run</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FDCompCN</w:t>
            </w:r>
          </w:p>
        </w:tc>
        <w:tc>
          <w:tcPr>
            <w:tcW w:type="dxa" w:w="1754"/>
            <w:vAlign w:val="top"/>
            <w:tcMar>
              <w:top w:w="45" w:type="dxa"/>
              <w:start w:w="55" w:type="dxa"/>
              <w:bottom w:w="45" w:type="dxa"/>
              <w:end w:w="55" w:type="dxa"/>
            </w:tcMar>
          </w:tcPr>
          <w:p>
            <w:pPr>
              <w:spacing w:after="0" w:line="240" w:lineRule="auto"/>
            </w:pPr>
            <w:r>
              <w:rPr>
                <w:rFonts w:ascii="Arial" w:hAnsi="Arial"/>
                <w:sz w:val="14"/>
              </w:rPr>
              <w:t>0.005078 ± 0.000209 s</w:t>
            </w:r>
          </w:p>
        </w:tc>
        <w:tc>
          <w:tcPr>
            <w:tcW w:type="dxa" w:w="1754"/>
            <w:vAlign w:val="top"/>
            <w:tcMar>
              <w:top w:w="45" w:type="dxa"/>
              <w:start w:w="55" w:type="dxa"/>
              <w:bottom w:w="45" w:type="dxa"/>
              <w:end w:w="55" w:type="dxa"/>
            </w:tcMar>
          </w:tcPr>
          <w:p>
            <w:pPr>
              <w:spacing w:after="0" w:line="240" w:lineRule="auto"/>
            </w:pPr>
            <w:r>
              <w:rPr>
                <w:rFonts w:ascii="Arial" w:hAnsi="Arial"/>
                <w:sz w:val="14"/>
              </w:rPr>
              <w:t>0.276744 ± 0.042727 s</w:t>
            </w:r>
          </w:p>
        </w:tc>
        <w:tc>
          <w:tcPr>
            <w:tcW w:type="dxa" w:w="1754"/>
            <w:vAlign w:val="top"/>
            <w:tcMar>
              <w:top w:w="45" w:type="dxa"/>
              <w:start w:w="55" w:type="dxa"/>
              <w:bottom w:w="45" w:type="dxa"/>
              <w:end w:w="55" w:type="dxa"/>
            </w:tcMar>
          </w:tcPr>
          <w:p>
            <w:pPr>
              <w:spacing w:after="0" w:line="240" w:lineRule="auto"/>
            </w:pPr>
            <w:r>
              <w:rPr>
                <w:rFonts w:ascii="Arial" w:hAnsi="Arial"/>
                <w:sz w:val="14"/>
              </w:rPr>
              <w:t>1.751184 ± 0.027296 ms</w:t>
            </w:r>
          </w:p>
        </w:tc>
        <w:tc>
          <w:tcPr>
            <w:tcW w:type="dxa" w:w="1754"/>
            <w:vAlign w:val="top"/>
            <w:tcMar>
              <w:top w:w="45" w:type="dxa"/>
              <w:start w:w="55" w:type="dxa"/>
              <w:bottom w:w="45" w:type="dxa"/>
              <w:end w:w="55" w:type="dxa"/>
            </w:tcMar>
          </w:tcPr>
          <w:p>
            <w:pPr>
              <w:spacing w:after="0" w:line="240" w:lineRule="auto"/>
            </w:pPr>
            <w:r>
              <w:rPr>
                <w:rFonts w:ascii="Arial" w:hAnsi="Arial"/>
                <w:sz w:val="14"/>
              </w:rPr>
              <w:t>15.15 ± 0.08 MB</w:t>
            </w:r>
          </w:p>
        </w:tc>
        <w:tc>
          <w:tcPr>
            <w:tcW w:type="dxa" w:w="1754"/>
            <w:vAlign w:val="top"/>
            <w:tcMar>
              <w:top w:w="45" w:type="dxa"/>
              <w:start w:w="55" w:type="dxa"/>
              <w:bottom w:w="45" w:type="dxa"/>
              <w:end w:w="55" w:type="dxa"/>
            </w:tcMar>
          </w:tcPr>
          <w:p>
            <w:pPr>
              <w:spacing w:after="0" w:line="240" w:lineRule="auto"/>
            </w:pPr>
            <w:r>
              <w:rPr>
                <w:rFonts w:ascii="Arial" w:hAnsi="Arial"/>
                <w:sz w:val="14"/>
              </w:rPr>
              <w:t>Primary timed final runs</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Elliptic</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0.142821 ± 0.000226 s</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10.378803 ± 0.729217 s</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64.847377 ± 0.171716 ms</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1262.30 ± 2.12 MB</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Primary timed final runs</w:t>
            </w:r>
          </w:p>
        </w:tc>
      </w:tr>
    </w:tbl>
    <w:p>
      <w:pPr>
        <w:spacing w:after="20"/>
      </w:pPr>
    </w:p>
    <w:p>
      <w:pPr>
        <w:spacing w:before="40" w:after="100"/>
      </w:pPr>
      <w:r>
        <w:rPr>
          <w:i/>
          <w:color w:val="666666"/>
          <w:sz w:val="16"/>
        </w:rPr>
        <w:t>All efficiency values were measured on the controlled Tesla T4. YelpChi and Amazon timing values are supplemental backfills with frozen configurations; their Step 15 and Step 19 primary performance values remain authoritative.</w:t>
      </w:r>
    </w:p>
    <w:p>
      <w:pPr>
        <w:pStyle w:val="Heading1"/>
      </w:pPr>
      <w:r>
        <w:t>7. Dataset-specific validity challenges and controlled treatment</w:t>
      </w:r>
    </w:p>
    <w:tbl>
      <w:tblPr>
        <w:tblW w:type="auto" w:w="0"/>
        <w:jc w:val="center"/>
        <w:tblLayout w:type="fixed"/>
        <w:tblLook w:firstColumn="1" w:firstRow="1" w:lastColumn="0" w:lastRow="0" w:noHBand="0" w:noVBand="1" w:val="04A0"/>
        <w:tblBorders>
          <w:top w:val="single" w:sz="4" w:color="555555"/>
          <w:left w:val="single" w:sz="4" w:color="555555"/>
          <w:bottom w:val="single" w:sz="4" w:color="555555"/>
          <w:right w:val="single" w:sz="4" w:color="555555"/>
          <w:insideH w:val="single" w:sz="4" w:color="555555"/>
          <w:insideV w:val="single" w:sz="4" w:color="555555"/>
        </w:tblBorders>
      </w:tblPr>
      <w:tblGrid>
        <w:gridCol w:w="2631"/>
        <w:gridCol w:w="2631"/>
        <w:gridCol w:w="2631"/>
        <w:gridCol w:w="2631"/>
      </w:tblGrid>
      <w:tr>
        <w:trPr>
          <w:tblHeader w:val="true"/>
        </w:trPr>
        <w:tc>
          <w:tcPr>
            <w:tcW w:type="dxa" w:w="2631"/>
            <w:shd w:fill="7A1F3D"/>
            <w:vAlign w:val="center"/>
            <w:tcMar>
              <w:top w:w="45" w:type="dxa"/>
              <w:start w:w="55" w:type="dxa"/>
              <w:bottom w:w="45" w:type="dxa"/>
              <w:end w:w="55" w:type="dxa"/>
            </w:tcMar>
          </w:tcPr>
          <w:p>
            <w:pPr>
              <w:spacing w:after="0"/>
            </w:pPr>
            <w:r>
              <w:rPr>
                <w:rFonts w:ascii="Arial" w:hAnsi="Arial"/>
                <w:b/>
                <w:color w:val="FFFFFF"/>
                <w:sz w:val="14"/>
              </w:rPr>
              <w:t>Dataset</w:t>
            </w:r>
          </w:p>
        </w:tc>
        <w:tc>
          <w:tcPr>
            <w:tcW w:type="dxa" w:w="2631"/>
            <w:shd w:fill="7A1F3D"/>
            <w:vAlign w:val="center"/>
            <w:tcMar>
              <w:top w:w="45" w:type="dxa"/>
              <w:start w:w="55" w:type="dxa"/>
              <w:bottom w:w="45" w:type="dxa"/>
              <w:end w:w="55" w:type="dxa"/>
            </w:tcMar>
          </w:tcPr>
          <w:p>
            <w:pPr>
              <w:spacing w:after="0"/>
            </w:pPr>
            <w:r>
              <w:rPr>
                <w:rFonts w:ascii="Arial" w:hAnsi="Arial"/>
                <w:b/>
                <w:color w:val="FFFFFF"/>
                <w:sz w:val="14"/>
              </w:rPr>
              <w:t>Challenge</w:t>
            </w:r>
          </w:p>
        </w:tc>
        <w:tc>
          <w:tcPr>
            <w:tcW w:type="dxa" w:w="2631"/>
            <w:shd w:fill="7A1F3D"/>
            <w:vAlign w:val="center"/>
            <w:tcMar>
              <w:top w:w="45" w:type="dxa"/>
              <w:start w:w="55" w:type="dxa"/>
              <w:bottom w:w="45" w:type="dxa"/>
              <w:end w:w="55" w:type="dxa"/>
            </w:tcMar>
          </w:tcPr>
          <w:p>
            <w:pPr>
              <w:spacing w:after="0"/>
            </w:pPr>
            <w:r>
              <w:rPr>
                <w:rFonts w:ascii="Arial" w:hAnsi="Arial"/>
                <w:b/>
                <w:color w:val="FFFFFF"/>
                <w:sz w:val="14"/>
              </w:rPr>
              <w:t>Controlled treatment</w:t>
            </w:r>
          </w:p>
        </w:tc>
        <w:tc>
          <w:tcPr>
            <w:tcW w:type="dxa" w:w="2631"/>
            <w:shd w:fill="7A1F3D"/>
            <w:vAlign w:val="center"/>
            <w:tcMar>
              <w:top w:w="45" w:type="dxa"/>
              <w:start w:w="55" w:type="dxa"/>
              <w:bottom w:w="45" w:type="dxa"/>
              <w:end w:w="55" w:type="dxa"/>
            </w:tcMar>
          </w:tcPr>
          <w:p>
            <w:pPr>
              <w:spacing w:after="0"/>
            </w:pPr>
            <w:r>
              <w:rPr>
                <w:rFonts w:ascii="Arial" w:hAnsi="Arial"/>
                <w:b/>
                <w:color w:val="FFFFFF"/>
                <w:sz w:val="14"/>
              </w:rPr>
              <w:t>Effect on interpretation</w:t>
            </w:r>
          </w:p>
        </w:tc>
      </w:tr>
      <w:tr>
        <w:trPr>
          <w:cantSplit/>
        </w:trPr>
        <w:tc>
          <w:tcPr>
            <w:tcW w:type="dxa" w:w="2631"/>
            <w:vAlign w:val="top"/>
            <w:tcMar>
              <w:top w:w="45" w:type="dxa"/>
              <w:start w:w="55" w:type="dxa"/>
              <w:bottom w:w="45" w:type="dxa"/>
              <w:end w:w="55" w:type="dxa"/>
            </w:tcMar>
          </w:tcPr>
          <w:p>
            <w:pPr>
              <w:spacing w:after="0" w:line="240" w:lineRule="auto"/>
            </w:pPr>
            <w:r>
              <w:rPr>
                <w:rFonts w:ascii="Arial" w:hAnsi="Arial"/>
                <w:b/>
                <w:sz w:val="14"/>
              </w:rPr>
              <w:t>YelpChi / Amazon</w:t>
            </w:r>
          </w:p>
        </w:tc>
        <w:tc>
          <w:tcPr>
            <w:tcW w:type="dxa" w:w="2631"/>
            <w:vAlign w:val="top"/>
            <w:tcMar>
              <w:top w:w="45" w:type="dxa"/>
              <w:start w:w="55" w:type="dxa"/>
              <w:bottom w:w="45" w:type="dxa"/>
              <w:end w:w="55" w:type="dxa"/>
            </w:tcMar>
          </w:tcPr>
          <w:p>
            <w:pPr>
              <w:spacing w:after="0" w:line="240" w:lineRule="auto"/>
            </w:pPr>
            <w:r>
              <w:rPr>
                <w:rFonts w:ascii="Arial" w:hAnsi="Arial"/>
                <w:sz w:val="14"/>
              </w:rPr>
              <w:t>Multi-relational source graphs; BWGNN final benchmark used the homogeneous BWGNN path.</w:t>
            </w:r>
          </w:p>
        </w:tc>
        <w:tc>
          <w:tcPr>
            <w:tcW w:type="dxa" w:w="2631"/>
            <w:vAlign w:val="top"/>
            <w:tcMar>
              <w:top w:w="45" w:type="dxa"/>
              <w:start w:w="55" w:type="dxa"/>
              <w:bottom w:w="45" w:type="dxa"/>
              <w:end w:w="55" w:type="dxa"/>
            </w:tcMar>
          </w:tcPr>
          <w:p>
            <w:pPr>
              <w:spacing w:after="0" w:line="240" w:lineRule="auto"/>
            </w:pPr>
            <w:r>
              <w:rPr>
                <w:rFonts w:ascii="Arial" w:hAnsi="Arial"/>
                <w:sz w:val="14"/>
              </w:rPr>
              <w:t>All source relations were combined for homogeneous execution with self-loops. Frozen final configurations were evaluated with the shared split/seed protocol.</w:t>
            </w:r>
          </w:p>
        </w:tc>
        <w:tc>
          <w:tcPr>
            <w:tcW w:type="dxa" w:w="2631"/>
            <w:vAlign w:val="top"/>
            <w:tcMar>
              <w:top w:w="45" w:type="dxa"/>
              <w:start w:w="55" w:type="dxa"/>
              <w:bottom w:w="45" w:type="dxa"/>
              <w:end w:w="55" w:type="dxa"/>
            </w:tcMar>
          </w:tcPr>
          <w:p>
            <w:pPr>
              <w:spacing w:after="0" w:line="240" w:lineRule="auto"/>
            </w:pPr>
            <w:r>
              <w:rPr>
                <w:rFonts w:ascii="Arial" w:hAnsi="Arial"/>
                <w:sz w:val="14"/>
              </w:rPr>
              <w:t>Comparable within this BWGNN study; exact edge-count conventions should not be equated with GADBench's deduplicated reference counts.</w:t>
            </w:r>
          </w:p>
        </w:tc>
      </w:tr>
      <w:tr>
        <w:trPr>
          <w:cantSplit/>
        </w:trPr>
        <w:tc>
          <w:tcPr>
            <w:tcW w:type="dxa" w:w="2631"/>
            <w:vAlign w:val="top"/>
            <w:tcMar>
              <w:top w:w="45" w:type="dxa"/>
              <w:start w:w="55" w:type="dxa"/>
              <w:bottom w:w="45" w:type="dxa"/>
              <w:end w:w="55" w:type="dxa"/>
            </w:tcMar>
            <w:shd w:fill="F3EDEE"/>
          </w:tcPr>
          <w:p>
            <w:pPr>
              <w:spacing w:after="0" w:line="240" w:lineRule="auto"/>
            </w:pPr>
            <w:r>
              <w:rPr>
                <w:rFonts w:ascii="Arial" w:hAnsi="Arial"/>
                <w:b/>
                <w:sz w:val="14"/>
              </w:rPr>
              <w:t>Amazon</w:t>
            </w:r>
          </w:p>
        </w:tc>
        <w:tc>
          <w:tcPr>
            <w:tcW w:type="dxa" w:w="2631"/>
            <w:vAlign w:val="top"/>
            <w:tcMar>
              <w:top w:w="45" w:type="dxa"/>
              <w:start w:w="55" w:type="dxa"/>
              <w:bottom w:w="45" w:type="dxa"/>
              <w:end w:w="55" w:type="dxa"/>
            </w:tcMar>
            <w:shd w:fill="F3EDEE"/>
          </w:tcPr>
          <w:p>
            <w:pPr>
              <w:spacing w:after="0" w:line="240" w:lineRule="auto"/>
            </w:pPr>
            <w:r>
              <w:rPr>
                <w:rFonts w:ascii="Arial" w:hAnsi="Arial"/>
                <w:sz w:val="14"/>
              </w:rPr>
              <w:t>First 3,305 graph nodes are not eligible for the CARE-GNN-style supervised label protocol.</w:t>
            </w:r>
          </w:p>
        </w:tc>
        <w:tc>
          <w:tcPr>
            <w:tcW w:type="dxa" w:w="2631"/>
            <w:vAlign w:val="top"/>
            <w:tcMar>
              <w:top w:w="45" w:type="dxa"/>
              <w:start w:w="55" w:type="dxa"/>
              <w:bottom w:w="45" w:type="dxa"/>
              <w:end w:w="55" w:type="dxa"/>
            </w:tcMar>
            <w:shd w:fill="F3EDEE"/>
          </w:tcPr>
          <w:p>
            <w:pPr>
              <w:spacing w:after="0" w:line="240" w:lineRule="auto"/>
            </w:pPr>
            <w:r>
              <w:rPr>
                <w:rFonts w:ascii="Arial" w:hAnsi="Arial"/>
                <w:sz w:val="14"/>
              </w:rPr>
              <w:t>Unified splits were rebuilt over 8,639 labelled nodes only: 7,818 normal and 821 fraud.</w:t>
            </w:r>
          </w:p>
        </w:tc>
        <w:tc>
          <w:tcPr>
            <w:tcW w:type="dxa" w:w="2631"/>
            <w:vAlign w:val="top"/>
            <w:tcMar>
              <w:top w:w="45" w:type="dxa"/>
              <w:start w:w="55" w:type="dxa"/>
              <w:bottom w:w="45" w:type="dxa"/>
              <w:end w:w="55" w:type="dxa"/>
            </w:tcMar>
            <w:shd w:fill="F3EDEE"/>
          </w:tcPr>
          <w:p>
            <w:pPr>
              <w:spacing w:after="0" w:line="240" w:lineRule="auto"/>
            </w:pPr>
            <w:r>
              <w:rPr>
                <w:rFonts w:ascii="Arial" w:hAnsi="Arial"/>
                <w:sz w:val="14"/>
              </w:rPr>
              <w:t>Prevents unlabeled nodes from entering supervised train/validation/test metrics.</w:t>
            </w:r>
          </w:p>
        </w:tc>
      </w:tr>
      <w:tr>
        <w:trPr>
          <w:cantSplit/>
        </w:trPr>
        <w:tc>
          <w:tcPr>
            <w:tcW w:type="dxa" w:w="2631"/>
            <w:vAlign w:val="top"/>
            <w:tcMar>
              <w:top w:w="45" w:type="dxa"/>
              <w:start w:w="55" w:type="dxa"/>
              <w:bottom w:w="45" w:type="dxa"/>
              <w:end w:w="55" w:type="dxa"/>
            </w:tcMar>
          </w:tcPr>
          <w:p>
            <w:pPr>
              <w:spacing w:after="0" w:line="240" w:lineRule="auto"/>
            </w:pPr>
            <w:r>
              <w:rPr>
                <w:rFonts w:ascii="Arial" w:hAnsi="Arial"/>
                <w:b/>
                <w:sz w:val="14"/>
              </w:rPr>
              <w:t>T-Finance</w:t>
            </w:r>
          </w:p>
        </w:tc>
        <w:tc>
          <w:tcPr>
            <w:tcW w:type="dxa" w:w="2631"/>
            <w:vAlign w:val="top"/>
            <w:tcMar>
              <w:top w:w="45" w:type="dxa"/>
              <w:start w:w="55" w:type="dxa"/>
              <w:bottom w:w="45" w:type="dxa"/>
              <w:end w:w="55" w:type="dxa"/>
            </w:tcMar>
          </w:tcPr>
          <w:p>
            <w:pPr>
              <w:spacing w:after="0" w:line="240" w:lineRule="auto"/>
            </w:pPr>
            <w:r>
              <w:rPr>
                <w:rFonts w:ascii="Arial" w:hAnsi="Arial"/>
                <w:sz w:val="14"/>
              </w:rPr>
              <w:t>Canonical attached DGL file stores labels as two-column one-hot values and contains 37,553 normal / 1,804 fraud, differing by one case from common published summaries.</w:t>
            </w:r>
          </w:p>
        </w:tc>
        <w:tc>
          <w:tcPr>
            <w:tcW w:type="dxa" w:w="2631"/>
            <w:vAlign w:val="top"/>
            <w:tcMar>
              <w:top w:w="45" w:type="dxa"/>
              <w:start w:w="55" w:type="dxa"/>
              <w:bottom w:w="45" w:type="dxa"/>
              <w:end w:w="55" w:type="dxa"/>
            </w:tcMar>
          </w:tcPr>
          <w:p>
            <w:pPr>
              <w:spacing w:after="0" w:line="240" w:lineRule="auto"/>
            </w:pPr>
            <w:r>
              <w:rPr>
                <w:rFonts w:ascii="Arial" w:hAnsi="Arial"/>
                <w:sz w:val="14"/>
              </w:rPr>
              <w:t>Labels were audited by row pattern and converted with argmax without changing the attached data.</w:t>
            </w:r>
          </w:p>
        </w:tc>
        <w:tc>
          <w:tcPr>
            <w:tcW w:type="dxa" w:w="2631"/>
            <w:vAlign w:val="top"/>
            <w:tcMar>
              <w:top w:w="45" w:type="dxa"/>
              <w:start w:w="55" w:type="dxa"/>
              <w:bottom w:w="45" w:type="dxa"/>
              <w:end w:w="55" w:type="dxa"/>
            </w:tcMar>
          </w:tcPr>
          <w:p>
            <w:pPr>
              <w:spacing w:after="0" w:line="240" w:lineRule="auto"/>
            </w:pPr>
            <w:r>
              <w:rPr>
                <w:rFonts w:ascii="Arial" w:hAnsi="Arial"/>
                <w:sz w:val="14"/>
              </w:rPr>
              <w:t>Results describe the exact canonical file actually used in the experiment.</w:t>
            </w:r>
          </w:p>
        </w:tc>
      </w:tr>
      <w:tr>
        <w:trPr>
          <w:cantSplit/>
        </w:trPr>
        <w:tc>
          <w:tcPr>
            <w:tcW w:type="dxa" w:w="2631"/>
            <w:vAlign w:val="top"/>
            <w:tcMar>
              <w:top w:w="45" w:type="dxa"/>
              <w:start w:w="55" w:type="dxa"/>
              <w:bottom w:w="45" w:type="dxa"/>
              <w:end w:w="55" w:type="dxa"/>
            </w:tcMar>
            <w:shd w:fill="F3EDEE"/>
          </w:tcPr>
          <w:p>
            <w:pPr>
              <w:spacing w:after="0" w:line="240" w:lineRule="auto"/>
            </w:pPr>
            <w:r>
              <w:rPr>
                <w:rFonts w:ascii="Arial" w:hAnsi="Arial"/>
                <w:b/>
                <w:sz w:val="14"/>
              </w:rPr>
              <w:t>T-Social</w:t>
            </w:r>
          </w:p>
        </w:tc>
        <w:tc>
          <w:tcPr>
            <w:tcW w:type="dxa" w:w="2631"/>
            <w:vAlign w:val="top"/>
            <w:tcMar>
              <w:top w:w="45" w:type="dxa"/>
              <w:start w:w="55" w:type="dxa"/>
              <w:bottom w:w="45" w:type="dxa"/>
              <w:end w:w="55" w:type="dxa"/>
            </w:tcMar>
            <w:shd w:fill="F3EDEE"/>
          </w:tcPr>
          <w:p>
            <w:pPr>
              <w:spacing w:after="0" w:line="240" w:lineRule="auto"/>
            </w:pPr>
            <w:r>
              <w:rPr>
                <w:rFonts w:ascii="Arial" w:hAnsi="Arial"/>
                <w:sz w:val="14"/>
              </w:rPr>
              <w:t>Full graph has 5,781,065 nodes and 146,211,016 stored edge entries; full-graph sparse message passing exceeded ~15 GB T4 memory.</w:t>
            </w:r>
          </w:p>
        </w:tc>
        <w:tc>
          <w:tcPr>
            <w:tcW w:type="dxa" w:w="2631"/>
            <w:vAlign w:val="top"/>
            <w:tcMar>
              <w:top w:w="45" w:type="dxa"/>
              <w:start w:w="55" w:type="dxa"/>
              <w:bottom w:w="45" w:type="dxa"/>
              <w:end w:w="55" w:type="dxa"/>
            </w:tcMar>
            <w:shd w:fill="F3EDEE"/>
          </w:tcPr>
          <w:p>
            <w:pPr>
              <w:spacing w:after="0" w:line="240" w:lineRule="auto"/>
            </w:pPr>
            <w:r>
              <w:rPr>
                <w:rFonts w:ascii="Arial" w:hAnsi="Arial"/>
                <w:sz w:val="14"/>
              </w:rPr>
              <w:t>Compatibility attempts used hidden sizes 64, 32, 16, and 8; CSC storage was tested; no sampling or graph reduction was introduced.</w:t>
            </w:r>
          </w:p>
        </w:tc>
        <w:tc>
          <w:tcPr>
            <w:tcW w:type="dxa" w:w="2631"/>
            <w:vAlign w:val="top"/>
            <w:tcMar>
              <w:top w:w="45" w:type="dxa"/>
              <w:start w:w="55" w:type="dxa"/>
              <w:bottom w:w="45" w:type="dxa"/>
              <w:end w:w="55" w:type="dxa"/>
            </w:tcMar>
            <w:shd w:fill="F3EDEE"/>
          </w:tcPr>
          <w:p>
            <w:pPr>
              <w:spacing w:after="0" w:line="240" w:lineRule="auto"/>
            </w:pPr>
            <w:r>
              <w:rPr>
                <w:rFonts w:ascii="Arial" w:hAnsi="Arial"/>
                <w:sz w:val="14"/>
              </w:rPr>
              <w:t>Classified as INFEASIBLE ON CONTROLLED TESLA T4; no performance value is reported.</w:t>
            </w:r>
          </w:p>
        </w:tc>
      </w:tr>
      <w:tr>
        <w:trPr>
          <w:cantSplit/>
        </w:trPr>
        <w:tc>
          <w:tcPr>
            <w:tcW w:type="dxa" w:w="2631"/>
            <w:vAlign w:val="top"/>
            <w:tcMar>
              <w:top w:w="45" w:type="dxa"/>
              <w:start w:w="55" w:type="dxa"/>
              <w:bottom w:w="45" w:type="dxa"/>
              <w:end w:w="55" w:type="dxa"/>
            </w:tcMar>
          </w:tcPr>
          <w:p>
            <w:pPr>
              <w:spacing w:after="0" w:line="240" w:lineRule="auto"/>
            </w:pPr>
            <w:r>
              <w:rPr>
                <w:rFonts w:ascii="Arial" w:hAnsi="Arial"/>
                <w:b/>
                <w:sz w:val="14"/>
              </w:rPr>
              <w:t>FDCompCN</w:t>
            </w:r>
          </w:p>
        </w:tc>
        <w:tc>
          <w:tcPr>
            <w:tcW w:type="dxa" w:w="2631"/>
            <w:vAlign w:val="top"/>
            <w:tcMar>
              <w:top w:w="45" w:type="dxa"/>
              <w:start w:w="55" w:type="dxa"/>
              <w:bottom w:w="45" w:type="dxa"/>
              <w:end w:w="55" w:type="dxa"/>
            </w:tcMar>
          </w:tcPr>
          <w:p>
            <w:pPr>
              <w:spacing w:after="0" w:line="240" w:lineRule="auto"/>
            </w:pPr>
            <w:r>
              <w:rPr>
                <w:rFonts w:ascii="Arial" w:hAnsi="Arial"/>
                <w:sz w:val="14"/>
              </w:rPr>
              <w:t>Official BWGNN repository has no native FDCompCN configuration. The DGL file stores four graph keys: homo, invest_bc2bc, provide_bc2bc, and sale_bc2bc. The official SplitGNN description defines three semantic relations (investment, customer, and supplier) and lists Homo separately as the homogeneous view; it is not a fourth semantic relation.</w:t>
            </w:r>
          </w:p>
        </w:tc>
        <w:tc>
          <w:tcPr>
            <w:tcW w:type="dxa" w:w="2631"/>
            <w:vAlign w:val="top"/>
            <w:tcMar>
              <w:top w:w="45" w:type="dxa"/>
              <w:start w:w="55" w:type="dxa"/>
              <w:bottom w:w="45" w:type="dxa"/>
              <w:end w:w="55" w:type="dxa"/>
            </w:tcMar>
          </w:tcPr>
          <w:p>
            <w:pPr>
              <w:spacing w:after="0" w:line="240" w:lineRule="auto"/>
            </w:pPr>
            <w:r>
              <w:rPr>
                <w:rFonts w:ascii="Arial" w:hAnsi="Arial"/>
                <w:sz w:val="14"/>
              </w:rPr>
              <w:t>A representation-only adapter converted the stored graph to homogeneous DGL form and added self-loops; 5,317 nodes, 30,752 stored source edges, 57 features, and all labels were preserved; BWGNN architecture unchanged. Standard BWGNN uses the combined adjacency and does not perform relation-specific message passing.</w:t>
            </w:r>
          </w:p>
        </w:tc>
        <w:tc>
          <w:tcPr>
            <w:tcW w:type="dxa" w:w="2631"/>
            <w:vAlign w:val="top"/>
            <w:tcMar>
              <w:top w:w="45" w:type="dxa"/>
              <w:start w:w="55" w:type="dxa"/>
              <w:bottom w:w="45" w:type="dxa"/>
              <w:end w:w="55" w:type="dxa"/>
            </w:tcMar>
          </w:tcPr>
          <w:p>
            <w:pPr>
              <w:spacing w:after="0" w:line="240" w:lineRule="auto"/>
            </w:pPr>
            <w:r>
              <w:rPr>
                <w:rFonts w:ascii="Arial" w:hAnsi="Arial"/>
                <w:sz w:val="14"/>
              </w:rPr>
              <w:t>Eligible as an input-adapter comparison, clearly separated from native repository support.</w:t>
            </w:r>
          </w:p>
        </w:tc>
      </w:tr>
      <w:tr>
        <w:trPr>
          <w:cantSplit/>
        </w:trPr>
        <w:tc>
          <w:tcPr>
            <w:tcW w:type="dxa" w:w="2631"/>
            <w:vAlign w:val="top"/>
            <w:tcMar>
              <w:top w:w="45" w:type="dxa"/>
              <w:start w:w="55" w:type="dxa"/>
              <w:bottom w:w="45" w:type="dxa"/>
              <w:end w:w="55" w:type="dxa"/>
            </w:tcMar>
            <w:shd w:fill="F3EDEE"/>
          </w:tcPr>
          <w:p>
            <w:pPr>
              <w:spacing w:after="0" w:line="240" w:lineRule="auto"/>
            </w:pPr>
            <w:r>
              <w:rPr>
                <w:rFonts w:ascii="Arial" w:hAnsi="Arial"/>
                <w:b/>
                <w:sz w:val="14"/>
              </w:rPr>
              <w:t>Elliptic</w:t>
            </w:r>
          </w:p>
        </w:tc>
        <w:tc>
          <w:tcPr>
            <w:tcW w:type="dxa" w:w="2631"/>
            <w:vAlign w:val="top"/>
            <w:tcMar>
              <w:top w:w="45" w:type="dxa"/>
              <w:start w:w="55" w:type="dxa"/>
              <w:bottom w:w="45" w:type="dxa"/>
              <w:end w:w="55" w:type="dxa"/>
            </w:tcMar>
            <w:shd w:fill="F3EDEE"/>
          </w:tcPr>
          <w:p>
            <w:pPr>
              <w:spacing w:after="0" w:line="240" w:lineRule="auto"/>
            </w:pPr>
            <w:r>
              <w:rPr>
                <w:rFonts w:ascii="Arial" w:hAnsi="Arial"/>
                <w:sz w:val="14"/>
              </w:rPr>
              <w:t>Transaction IDs, 49 time steps, 157,205 unknown labels, and directed payment-flow edges require leakage-safe handling.</w:t>
            </w:r>
          </w:p>
        </w:tc>
        <w:tc>
          <w:tcPr>
            <w:tcW w:type="dxa" w:w="2631"/>
            <w:vAlign w:val="top"/>
            <w:tcMar>
              <w:top w:w="45" w:type="dxa"/>
              <w:start w:w="55" w:type="dxa"/>
              <w:bottom w:w="45" w:type="dxa"/>
              <w:end w:w="55" w:type="dxa"/>
            </w:tcMar>
            <w:shd w:fill="F3EDEE"/>
          </w:tcPr>
          <w:p>
            <w:pPr>
              <w:spacing w:after="0" w:line="240" w:lineRule="auto"/>
            </w:pPr>
            <w:r>
              <w:rPr>
                <w:rFonts w:ascii="Arial" w:hAnsi="Arial"/>
                <w:sz w:val="14"/>
              </w:rPr>
              <w:t>165 model features were used; time step was used for splitting rather than as a model feature; unknown nodes stayed in the graph but never supervised; reverse edges were not added; validation/test remained later in time.</w:t>
            </w:r>
          </w:p>
        </w:tc>
        <w:tc>
          <w:tcPr>
            <w:tcW w:type="dxa" w:w="2631"/>
            <w:vAlign w:val="top"/>
            <w:tcMar>
              <w:top w:w="45" w:type="dxa"/>
              <w:start w:w="55" w:type="dxa"/>
              <w:bottom w:w="45" w:type="dxa"/>
              <w:end w:w="55" w:type="dxa"/>
            </w:tcMar>
            <w:shd w:fill="F3EDEE"/>
          </w:tcPr>
          <w:p>
            <w:pPr>
              <w:spacing w:after="0" w:line="240" w:lineRule="auto"/>
            </w:pPr>
            <w:r>
              <w:rPr>
                <w:rFonts w:ascii="Arial" w:hAnsi="Arial"/>
                <w:sz w:val="14"/>
              </w:rPr>
              <w:t>Preserves the temporal task and avoids random-split leakage or supervision from unknown labels.</w:t>
            </w:r>
          </w:p>
        </w:tc>
      </w:tr>
      <w:tr>
        <w:trPr>
          <w:cantSplit/>
        </w:trPr>
        <w:tc>
          <w:tcPr>
            <w:tcW w:type="dxa" w:w="2631"/>
            <w:vAlign w:val="top"/>
            <w:tcMar>
              <w:top w:w="45" w:type="dxa"/>
              <w:start w:w="55" w:type="dxa"/>
              <w:bottom w:w="45" w:type="dxa"/>
              <w:end w:w="55" w:type="dxa"/>
            </w:tcMar>
          </w:tcPr>
          <w:p>
            <w:pPr>
              <w:spacing w:after="0" w:line="240" w:lineRule="auto"/>
            </w:pPr>
            <w:r>
              <w:rPr>
                <w:rFonts w:ascii="Arial" w:hAnsi="Arial"/>
                <w:b/>
                <w:sz w:val="14"/>
              </w:rPr>
              <w:t>Evidence timing</w:t>
            </w:r>
          </w:p>
        </w:tc>
        <w:tc>
          <w:tcPr>
            <w:tcW w:type="dxa" w:w="2631"/>
            <w:vAlign w:val="top"/>
            <w:tcMar>
              <w:top w:w="45" w:type="dxa"/>
              <w:start w:w="55" w:type="dxa"/>
              <w:bottom w:w="45" w:type="dxa"/>
              <w:end w:w="55" w:type="dxa"/>
            </w:tcMar>
          </w:tcPr>
          <w:p>
            <w:pPr>
              <w:spacing w:after="0" w:line="240" w:lineRule="auto"/>
            </w:pPr>
            <w:r>
              <w:rPr>
                <w:rFonts w:ascii="Arial" w:hAnsi="Arial"/>
                <w:sz w:val="14"/>
              </w:rPr>
              <w:t>Primary YelpChi/Amazon performance runs pre-dated the final raw timing instrumentation.</w:t>
            </w:r>
          </w:p>
        </w:tc>
        <w:tc>
          <w:tcPr>
            <w:tcW w:type="dxa" w:w="2631"/>
            <w:vAlign w:val="top"/>
            <w:tcMar>
              <w:top w:w="45" w:type="dxa"/>
              <w:start w:w="55" w:type="dxa"/>
              <w:bottom w:w="45" w:type="dxa"/>
              <w:end w:w="55" w:type="dxa"/>
            </w:tcMar>
          </w:tcPr>
          <w:p>
            <w:pPr>
              <w:spacing w:after="0" w:line="240" w:lineRule="auto"/>
            </w:pPr>
            <w:r>
              <w:rPr>
                <w:rFonts w:ascii="Arial" w:hAnsi="Arial"/>
                <w:sz w:val="14"/>
              </w:rPr>
              <w:t>Separate 12-run timing backfills used the same frozen configurations, ratios, seeds and hardware; verification metrics were not substituted for Step 15/19 primary metrics.</w:t>
            </w:r>
          </w:p>
        </w:tc>
        <w:tc>
          <w:tcPr>
            <w:tcW w:type="dxa" w:w="2631"/>
            <w:vAlign w:val="top"/>
            <w:tcMar>
              <w:top w:w="45" w:type="dxa"/>
              <w:start w:w="55" w:type="dxa"/>
              <w:bottom w:w="45" w:type="dxa"/>
              <w:end w:w="55" w:type="dxa"/>
            </w:tcMar>
          </w:tcPr>
          <w:p>
            <w:pPr>
              <w:spacing w:after="0" w:line="240" w:lineRule="auto"/>
            </w:pPr>
            <w:r>
              <w:rPr>
                <w:rFonts w:ascii="Arial" w:hAnsi="Arial"/>
                <w:sz w:val="14"/>
              </w:rPr>
              <w:t>Effectiveness and efficiency evidence remain traceable without overwriting primary results.</w:t>
            </w:r>
          </w:p>
        </w:tc>
      </w:tr>
    </w:tbl>
    <w:p>
      <w:pPr>
        <w:spacing w:after="20"/>
      </w:pPr>
    </w:p>
    <w:p>
      <w:pPr>
        <w:pStyle w:val="Heading1"/>
      </w:pPr>
      <w:r>
        <w:t>8. Evidence completeness</w:t>
      </w:r>
    </w:p>
    <w:tbl>
      <w:tblPr>
        <w:tblW w:type="auto" w:w="0"/>
        <w:jc w:val="center"/>
        <w:tblLayout w:type="fixed"/>
        <w:tblLook w:firstColumn="1" w:firstRow="1" w:lastColumn="0" w:lastRow="0" w:noHBand="0" w:noVBand="1" w:val="04A0"/>
        <w:tblBorders>
          <w:top w:val="single" w:sz="4" w:color="555555"/>
          <w:left w:val="single" w:sz="4" w:color="555555"/>
          <w:bottom w:val="single" w:sz="4" w:color="555555"/>
          <w:right w:val="single" w:sz="4" w:color="555555"/>
          <w:insideH w:val="single" w:sz="4" w:color="555555"/>
          <w:insideV w:val="single" w:sz="4" w:color="555555"/>
        </w:tblBorders>
      </w:tblPr>
      <w:tblGrid>
        <w:gridCol w:w="1754"/>
        <w:gridCol w:w="1754"/>
        <w:gridCol w:w="1754"/>
        <w:gridCol w:w="1754"/>
        <w:gridCol w:w="1754"/>
        <w:gridCol w:w="1754"/>
      </w:tblGrid>
      <w:tr>
        <w:trPr>
          <w:tblHeader w:val="true"/>
        </w:trPr>
        <w:tc>
          <w:tcPr>
            <w:tcW w:type="dxa" w:w="1754"/>
            <w:shd w:fill="7A1F3D"/>
            <w:vAlign w:val="center"/>
            <w:tcMar>
              <w:top w:w="45" w:type="dxa"/>
              <w:start w:w="55" w:type="dxa"/>
              <w:bottom w:w="45" w:type="dxa"/>
              <w:end w:w="55" w:type="dxa"/>
            </w:tcMar>
          </w:tcPr>
          <w:p>
            <w:pPr>
              <w:spacing w:after="0"/>
            </w:pPr>
            <w:r>
              <w:rPr>
                <w:rFonts w:ascii="Arial" w:hAnsi="Arial"/>
                <w:b/>
                <w:color w:val="FFFFFF"/>
                <w:sz w:val="14"/>
              </w:rPr>
              <w:t>Dataset</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Completed runs / attempts</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Raw timing</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Authoritative evidence</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Test used for selection?</w:t>
            </w:r>
          </w:p>
        </w:tc>
        <w:tc>
          <w:tcPr>
            <w:tcW w:type="dxa" w:w="1754"/>
            <w:shd w:fill="7A1F3D"/>
            <w:vAlign w:val="center"/>
            <w:tcMar>
              <w:top w:w="45" w:type="dxa"/>
              <w:start w:w="55" w:type="dxa"/>
              <w:bottom w:w="45" w:type="dxa"/>
              <w:end w:w="55" w:type="dxa"/>
            </w:tcMar>
          </w:tcPr>
          <w:p>
            <w:pPr>
              <w:spacing w:after="0"/>
            </w:pPr>
            <w:r>
              <w:rPr>
                <w:rFonts w:ascii="Arial" w:hAnsi="Arial"/>
                <w:b/>
                <w:color w:val="FFFFFF"/>
                <w:sz w:val="14"/>
              </w:rPr>
              <w:t>Final status</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YelpChi</w:t>
            </w:r>
          </w:p>
        </w:tc>
        <w:tc>
          <w:tcPr>
            <w:tcW w:type="dxa" w:w="1754"/>
            <w:vAlign w:val="top"/>
            <w:tcMar>
              <w:top w:w="45" w:type="dxa"/>
              <w:start w:w="55" w:type="dxa"/>
              <w:bottom w:w="45" w:type="dxa"/>
              <w:end w:w="55" w:type="dxa"/>
            </w:tcMar>
          </w:tcPr>
          <w:p>
            <w:pPr>
              <w:spacing w:after="0" w:line="240" w:lineRule="auto"/>
            </w:pPr>
            <w:r>
              <w:rPr>
                <w:rFonts w:ascii="Arial" w:hAnsi="Arial"/>
                <w:sz w:val="14"/>
              </w:rPr>
              <w:t>12 primary final + 12 timing backfill</w:t>
            </w:r>
          </w:p>
        </w:tc>
        <w:tc>
          <w:tcPr>
            <w:tcW w:type="dxa" w:w="1754"/>
            <w:vAlign w:val="top"/>
            <w:tcMar>
              <w:top w:w="45" w:type="dxa"/>
              <w:start w:w="55" w:type="dxa"/>
              <w:bottom w:w="45" w:type="dxa"/>
              <w:end w:w="55" w:type="dxa"/>
            </w:tcMar>
          </w:tcPr>
          <w:p>
            <w:pPr>
              <w:spacing w:after="0" w:line="240" w:lineRule="auto"/>
            </w:pPr>
            <w:r>
              <w:rPr>
                <w:rFonts w:ascii="Arial" w:hAnsi="Arial"/>
                <w:sz w:val="14"/>
              </w:rPr>
              <w:t>12 timing CSVs</w:t>
            </w:r>
          </w:p>
        </w:tc>
        <w:tc>
          <w:tcPr>
            <w:tcW w:type="dxa" w:w="1754"/>
            <w:vAlign w:val="top"/>
            <w:tcMar>
              <w:top w:w="45" w:type="dxa"/>
              <w:start w:w="55" w:type="dxa"/>
              <w:bottom w:w="45" w:type="dxa"/>
              <w:end w:w="55" w:type="dxa"/>
            </w:tcMar>
          </w:tcPr>
          <w:p>
            <w:pPr>
              <w:spacing w:after="0" w:line="240" w:lineRule="auto"/>
            </w:pPr>
            <w:r>
              <w:rPr>
                <w:rFonts w:ascii="Arial" w:hAnsi="Arial"/>
                <w:sz w:val="14"/>
              </w:rPr>
              <w:t>Step 15 primary; supplemental timing</w:t>
            </w:r>
          </w:p>
        </w:tc>
        <w:tc>
          <w:tcPr>
            <w:tcW w:type="dxa" w:w="1754"/>
            <w:vAlign w:val="top"/>
            <w:tcMar>
              <w:top w:w="45" w:type="dxa"/>
              <w:start w:w="55" w:type="dxa"/>
              <w:bottom w:w="45" w:type="dxa"/>
              <w:end w:w="55" w:type="dxa"/>
            </w:tcMar>
          </w:tcPr>
          <w:p>
            <w:pPr>
              <w:spacing w:after="0" w:line="240" w:lineRule="auto"/>
            </w:pPr>
            <w:r>
              <w:rPr>
                <w:rFonts w:ascii="Arial" w:hAnsi="Arial"/>
                <w:sz w:val="14"/>
              </w:rPr>
              <w:t>No</w:t>
            </w:r>
          </w:p>
        </w:tc>
        <w:tc>
          <w:tcPr>
            <w:tcW w:type="dxa" w:w="1754"/>
            <w:vAlign w:val="top"/>
            <w:tcMar>
              <w:top w:w="45" w:type="dxa"/>
              <w:start w:w="55" w:type="dxa"/>
              <w:bottom w:w="45" w:type="dxa"/>
              <w:end w:w="55" w:type="dxa"/>
            </w:tcMar>
          </w:tcPr>
          <w:p>
            <w:pPr>
              <w:spacing w:after="0" w:line="240" w:lineRule="auto"/>
            </w:pPr>
            <w:r>
              <w:rPr>
                <w:rFonts w:ascii="Arial" w:hAnsi="Arial"/>
                <w:sz w:val="14"/>
              </w:rPr>
              <w:t>Complete</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Amazon</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12 primary final + 12 timing backfill</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12 timing CSVs</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Step 19 primary; supplemental timing</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No</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Complete</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T-Finance</w:t>
            </w:r>
          </w:p>
        </w:tc>
        <w:tc>
          <w:tcPr>
            <w:tcW w:type="dxa" w:w="1754"/>
            <w:vAlign w:val="top"/>
            <w:tcMar>
              <w:top w:w="45" w:type="dxa"/>
              <w:start w:w="55" w:type="dxa"/>
              <w:bottom w:w="45" w:type="dxa"/>
              <w:end w:w="55" w:type="dxa"/>
            </w:tcMar>
          </w:tcPr>
          <w:p>
            <w:pPr>
              <w:spacing w:after="0" w:line="240" w:lineRule="auto"/>
            </w:pPr>
            <w:r>
              <w:rPr>
                <w:rFonts w:ascii="Arial" w:hAnsi="Arial"/>
                <w:sz w:val="14"/>
              </w:rPr>
              <w:t>12 final</w:t>
            </w:r>
          </w:p>
        </w:tc>
        <w:tc>
          <w:tcPr>
            <w:tcW w:type="dxa" w:w="1754"/>
            <w:vAlign w:val="top"/>
            <w:tcMar>
              <w:top w:w="45" w:type="dxa"/>
              <w:start w:w="55" w:type="dxa"/>
              <w:bottom w:w="45" w:type="dxa"/>
              <w:end w:w="55" w:type="dxa"/>
            </w:tcMar>
          </w:tcPr>
          <w:p>
            <w:pPr>
              <w:spacing w:after="0" w:line="240" w:lineRule="auto"/>
            </w:pPr>
            <w:r>
              <w:rPr>
                <w:rFonts w:ascii="Arial" w:hAnsi="Arial"/>
                <w:sz w:val="14"/>
              </w:rPr>
              <w:t>12 timing CSVs</w:t>
            </w:r>
          </w:p>
        </w:tc>
        <w:tc>
          <w:tcPr>
            <w:tcW w:type="dxa" w:w="1754"/>
            <w:vAlign w:val="top"/>
            <w:tcMar>
              <w:top w:w="45" w:type="dxa"/>
              <w:start w:w="55" w:type="dxa"/>
              <w:bottom w:w="45" w:type="dxa"/>
              <w:end w:w="55" w:type="dxa"/>
            </w:tcMar>
          </w:tcPr>
          <w:p>
            <w:pPr>
              <w:spacing w:after="0" w:line="240" w:lineRule="auto"/>
            </w:pPr>
            <w:r>
              <w:rPr>
                <w:rFonts w:ascii="Arial" w:hAnsi="Arial"/>
                <w:sz w:val="14"/>
              </w:rPr>
              <w:t>Step 22B primary timed final</w:t>
            </w:r>
          </w:p>
        </w:tc>
        <w:tc>
          <w:tcPr>
            <w:tcW w:type="dxa" w:w="1754"/>
            <w:vAlign w:val="top"/>
            <w:tcMar>
              <w:top w:w="45" w:type="dxa"/>
              <w:start w:w="55" w:type="dxa"/>
              <w:bottom w:w="45" w:type="dxa"/>
              <w:end w:w="55" w:type="dxa"/>
            </w:tcMar>
          </w:tcPr>
          <w:p>
            <w:pPr>
              <w:spacing w:after="0" w:line="240" w:lineRule="auto"/>
            </w:pPr>
            <w:r>
              <w:rPr>
                <w:rFonts w:ascii="Arial" w:hAnsi="Arial"/>
                <w:sz w:val="14"/>
              </w:rPr>
              <w:t>No</w:t>
            </w:r>
          </w:p>
        </w:tc>
        <w:tc>
          <w:tcPr>
            <w:tcW w:type="dxa" w:w="1754"/>
            <w:vAlign w:val="top"/>
            <w:tcMar>
              <w:top w:w="45" w:type="dxa"/>
              <w:start w:w="55" w:type="dxa"/>
              <w:bottom w:w="45" w:type="dxa"/>
              <w:end w:w="55" w:type="dxa"/>
            </w:tcMar>
          </w:tcPr>
          <w:p>
            <w:pPr>
              <w:spacing w:after="0" w:line="240" w:lineRule="auto"/>
            </w:pPr>
            <w:r>
              <w:rPr>
                <w:rFonts w:ascii="Arial" w:hAnsi="Arial"/>
                <w:sz w:val="14"/>
              </w:rPr>
              <w:t>Complete</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T-Social</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0 final; 5 compatibility attempts</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N/A</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Step 27 compatibility evidence</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No test evaluation</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T4-infeasible</w:t>
            </w:r>
          </w:p>
        </w:tc>
      </w:tr>
      <w:tr>
        <w:trPr>
          <w:cantSplit/>
        </w:trPr>
        <w:tc>
          <w:tcPr>
            <w:tcW w:type="dxa" w:w="1754"/>
            <w:vAlign w:val="top"/>
            <w:tcMar>
              <w:top w:w="45" w:type="dxa"/>
              <w:start w:w="55" w:type="dxa"/>
              <w:bottom w:w="45" w:type="dxa"/>
              <w:end w:w="55" w:type="dxa"/>
            </w:tcMar>
          </w:tcPr>
          <w:p>
            <w:pPr>
              <w:spacing w:after="0" w:line="240" w:lineRule="auto"/>
            </w:pPr>
            <w:r>
              <w:rPr>
                <w:rFonts w:ascii="Arial" w:hAnsi="Arial"/>
                <w:b/>
                <w:sz w:val="14"/>
              </w:rPr>
              <w:t>FDCompCN</w:t>
            </w:r>
          </w:p>
        </w:tc>
        <w:tc>
          <w:tcPr>
            <w:tcW w:type="dxa" w:w="1754"/>
            <w:vAlign w:val="top"/>
            <w:tcMar>
              <w:top w:w="45" w:type="dxa"/>
              <w:start w:w="55" w:type="dxa"/>
              <w:bottom w:w="45" w:type="dxa"/>
              <w:end w:w="55" w:type="dxa"/>
            </w:tcMar>
          </w:tcPr>
          <w:p>
            <w:pPr>
              <w:spacing w:after="0" w:line="240" w:lineRule="auto"/>
            </w:pPr>
            <w:r>
              <w:rPr>
                <w:rFonts w:ascii="Arial" w:hAnsi="Arial"/>
                <w:sz w:val="14"/>
              </w:rPr>
              <w:t>12 final</w:t>
            </w:r>
          </w:p>
        </w:tc>
        <w:tc>
          <w:tcPr>
            <w:tcW w:type="dxa" w:w="1754"/>
            <w:vAlign w:val="top"/>
            <w:tcMar>
              <w:top w:w="45" w:type="dxa"/>
              <w:start w:w="55" w:type="dxa"/>
              <w:bottom w:w="45" w:type="dxa"/>
              <w:end w:w="55" w:type="dxa"/>
            </w:tcMar>
          </w:tcPr>
          <w:p>
            <w:pPr>
              <w:spacing w:after="0" w:line="240" w:lineRule="auto"/>
            </w:pPr>
            <w:r>
              <w:rPr>
                <w:rFonts w:ascii="Arial" w:hAnsi="Arial"/>
                <w:sz w:val="14"/>
              </w:rPr>
              <w:t>12 timing CSVs</w:t>
            </w:r>
          </w:p>
        </w:tc>
        <w:tc>
          <w:tcPr>
            <w:tcW w:type="dxa" w:w="1754"/>
            <w:vAlign w:val="top"/>
            <w:tcMar>
              <w:top w:w="45" w:type="dxa"/>
              <w:start w:w="55" w:type="dxa"/>
              <w:bottom w:w="45" w:type="dxa"/>
              <w:end w:w="55" w:type="dxa"/>
            </w:tcMar>
          </w:tcPr>
          <w:p>
            <w:pPr>
              <w:spacing w:after="0"/>
            </w:pPr>
            <w:r>
              <w:rPr>
                <w:rFonts w:ascii="Arial" w:hAnsi="Arial"/>
                <w:sz w:val="14"/>
              </w:rPr>
              <w:t>Step 30 primary final; Step 31 package verification</w:t>
            </w:r>
          </w:p>
        </w:tc>
        <w:tc>
          <w:tcPr>
            <w:tcW w:type="dxa" w:w="1754"/>
            <w:vAlign w:val="top"/>
            <w:tcMar>
              <w:top w:w="45" w:type="dxa"/>
              <w:start w:w="55" w:type="dxa"/>
              <w:bottom w:w="45" w:type="dxa"/>
              <w:end w:w="55" w:type="dxa"/>
            </w:tcMar>
          </w:tcPr>
          <w:p>
            <w:pPr>
              <w:spacing w:after="0" w:line="240" w:lineRule="auto"/>
            </w:pPr>
            <w:r>
              <w:rPr>
                <w:rFonts w:ascii="Arial" w:hAnsi="Arial"/>
                <w:sz w:val="14"/>
              </w:rPr>
              <w:t>No</w:t>
            </w:r>
          </w:p>
        </w:tc>
        <w:tc>
          <w:tcPr>
            <w:tcW w:type="dxa" w:w="1754"/>
            <w:vAlign w:val="top"/>
            <w:tcMar>
              <w:top w:w="45" w:type="dxa"/>
              <w:start w:w="55" w:type="dxa"/>
              <w:bottom w:w="45" w:type="dxa"/>
              <w:end w:w="55" w:type="dxa"/>
            </w:tcMar>
          </w:tcPr>
          <w:p>
            <w:pPr>
              <w:spacing w:after="0" w:line="240" w:lineRule="auto"/>
            </w:pPr>
            <w:r>
              <w:rPr>
                <w:rFonts w:ascii="Arial" w:hAnsi="Arial"/>
                <w:sz w:val="14"/>
              </w:rPr>
              <w:t>Complete</w:t>
            </w:r>
          </w:p>
        </w:tc>
      </w:tr>
      <w:tr>
        <w:trPr>
          <w:cantSplit/>
        </w:trPr>
        <w:tc>
          <w:tcPr>
            <w:tcW w:type="dxa" w:w="1754"/>
            <w:vAlign w:val="top"/>
            <w:tcMar>
              <w:top w:w="45" w:type="dxa"/>
              <w:start w:w="55" w:type="dxa"/>
              <w:bottom w:w="45" w:type="dxa"/>
              <w:end w:w="55" w:type="dxa"/>
            </w:tcMar>
            <w:shd w:fill="F3EDEE"/>
          </w:tcPr>
          <w:p>
            <w:pPr>
              <w:spacing w:after="0" w:line="240" w:lineRule="auto"/>
            </w:pPr>
            <w:r>
              <w:rPr>
                <w:rFonts w:ascii="Arial" w:hAnsi="Arial"/>
                <w:b/>
                <w:sz w:val="14"/>
              </w:rPr>
              <w:t>Elliptic</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12 final</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12 timing CSVs</w:t>
            </w:r>
          </w:p>
        </w:tc>
        <w:tc>
          <w:tcPr>
            <w:tcW w:type="dxa" w:w="1754"/>
            <w:vAlign w:val="top"/>
            <w:tcMar>
              <w:top w:w="45" w:type="dxa"/>
              <w:start w:w="55" w:type="dxa"/>
              <w:bottom w:w="45" w:type="dxa"/>
              <w:end w:w="55" w:type="dxa"/>
            </w:tcMar>
            <w:shd w:fill="F3EDEE"/>
          </w:tcPr>
          <w:p>
            <w:pPr>
              <w:spacing w:after="0"/>
            </w:pPr>
            <w:r>
              <w:rPr>
                <w:rFonts w:ascii="Arial" w:hAnsi="Arial"/>
                <w:sz w:val="14"/>
              </w:rPr>
              <w:t>Step 34 primary final; Step 35 package verification</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No</w:t>
            </w:r>
          </w:p>
        </w:tc>
        <w:tc>
          <w:tcPr>
            <w:tcW w:type="dxa" w:w="1754"/>
            <w:vAlign w:val="top"/>
            <w:tcMar>
              <w:top w:w="45" w:type="dxa"/>
              <w:start w:w="55" w:type="dxa"/>
              <w:bottom w:w="45" w:type="dxa"/>
              <w:end w:w="55" w:type="dxa"/>
            </w:tcMar>
            <w:shd w:fill="F3EDEE"/>
          </w:tcPr>
          <w:p>
            <w:pPr>
              <w:spacing w:after="0" w:line="240" w:lineRule="auto"/>
            </w:pPr>
            <w:r>
              <w:rPr>
                <w:rFonts w:ascii="Arial" w:hAnsi="Arial"/>
                <w:sz w:val="14"/>
              </w:rPr>
              <w:t>Complete</w:t>
            </w:r>
          </w:p>
        </w:tc>
      </w:tr>
    </w:tbl>
    <w:p>
      <w:pPr>
        <w:spacing w:after="20"/>
      </w:pPr>
    </w:p>
    <w:p>
      <w:pPr>
        <w:pStyle w:val="Heading1"/>
      </w:pPr>
      <w:r>
        <w:t>9. What each table means and its significance</w:t>
      </w:r>
    </w:p>
    <w:p>
      <w:pPr>
        <w:spacing w:after="120"/>
      </w:pPr>
      <w:r>
        <w:rPr>
          <w:rFonts w:ascii="Arial" w:hAnsi="Arial"/>
          <w:b/>
          <w:i w:val="0"/>
        </w:rPr>
        <w:t xml:space="preserve">Reading order. </w:t>
      </w:r>
      <w:r>
        <w:rPr>
          <w:rFonts w:ascii="Arial" w:hAnsi="Arial"/>
          <w:b w:val="0"/>
          <w:i w:val="0"/>
        </w:rPr>
        <w:t xml:space="preserve">Start with </w:t>
      </w:r>
      <w:r>
        <w:rPr>
          <w:rFonts w:ascii="Arial" w:hAnsi="Arial"/>
          <w:b/>
          <w:i w:val="0"/>
        </w:rPr>
        <w:t>Table 1</w:t>
      </w:r>
      <w:r>
        <w:rPr>
          <w:rFonts w:ascii="Arial" w:hAnsi="Arial"/>
          <w:b w:val="0"/>
          <w:i w:val="0"/>
        </w:rPr>
        <w:t xml:space="preserve"> for dataset difficulty and scale, then </w:t>
      </w:r>
      <w:r>
        <w:rPr>
          <w:rFonts w:ascii="Arial" w:hAnsi="Arial"/>
          <w:b/>
          <w:i w:val="0"/>
        </w:rPr>
        <w:t>Table 2</w:t>
      </w:r>
      <w:r>
        <w:rPr>
          <w:rFonts w:ascii="Arial" w:hAnsi="Arial"/>
          <w:b w:val="0"/>
          <w:i w:val="0"/>
        </w:rPr>
        <w:t xml:space="preserve"> for fairness controls and </w:t>
      </w:r>
      <w:r>
        <w:rPr>
          <w:rFonts w:ascii="Arial" w:hAnsi="Arial"/>
          <w:b/>
          <w:i w:val="0"/>
        </w:rPr>
        <w:t>Table 3</w:t>
      </w:r>
      <w:r>
        <w:rPr>
          <w:rFonts w:ascii="Arial" w:hAnsi="Arial"/>
          <w:b w:val="0"/>
          <w:i w:val="0"/>
        </w:rPr>
        <w:t xml:space="preserve"> for the frozen BWGNN configuration. Use </w:t>
      </w:r>
      <w:r>
        <w:rPr>
          <w:rFonts w:ascii="Arial" w:hAnsi="Arial"/>
          <w:b/>
          <w:i w:val="0"/>
        </w:rPr>
        <w:t>Tables 4–5</w:t>
      </w:r>
      <w:r>
        <w:rPr>
          <w:rFonts w:ascii="Arial" w:hAnsi="Arial"/>
          <w:b w:val="0"/>
          <w:i w:val="0"/>
        </w:rPr>
        <w:t xml:space="preserve"> to read effectiveness and label-scarcity behavior, </w:t>
      </w:r>
      <w:r>
        <w:rPr>
          <w:rFonts w:ascii="Arial" w:hAnsi="Arial"/>
          <w:b/>
          <w:i w:val="0"/>
        </w:rPr>
        <w:t>Table 6</w:t>
      </w:r>
      <w:r>
        <w:rPr>
          <w:rFonts w:ascii="Arial" w:hAnsi="Arial"/>
          <w:b w:val="0"/>
          <w:i w:val="0"/>
        </w:rPr>
        <w:t xml:space="preserve"> for computational cost, </w:t>
      </w:r>
      <w:r>
        <w:rPr>
          <w:rFonts w:ascii="Arial" w:hAnsi="Arial"/>
          <w:b/>
          <w:i w:val="0"/>
        </w:rPr>
        <w:t>Table 7</w:t>
      </w:r>
      <w:r>
        <w:rPr>
          <w:rFonts w:ascii="Arial" w:hAnsi="Arial"/>
          <w:b w:val="0"/>
          <w:i w:val="0"/>
        </w:rPr>
        <w:t xml:space="preserve"> for validity limits, and </w:t>
      </w:r>
      <w:r>
        <w:rPr>
          <w:rFonts w:ascii="Arial" w:hAnsi="Arial"/>
          <w:b/>
          <w:i w:val="0"/>
        </w:rPr>
        <w:t>Table 8</w:t>
      </w:r>
      <w:r>
        <w:rPr>
          <w:rFonts w:ascii="Arial" w:hAnsi="Arial"/>
          <w:b w:val="0"/>
          <w:i w:val="0"/>
        </w:rPr>
        <w:t xml:space="preserve"> to confirm what evidence is complete and auditable.</w:t>
      </w:r>
    </w:p>
    <w:p>
      <w:pPr>
        <w:spacing w:after="120"/>
      </w:pPr>
      <w:r>
        <w:rPr>
          <w:rFonts w:ascii="Arial" w:hAnsi="Arial"/>
          <w:b/>
          <w:i w:val="0"/>
          <w:color w:val="7A1F3D"/>
        </w:rPr>
        <w:t xml:space="preserve">Table 1 — Dataset scale, labels, and execution status. </w:t>
      </w:r>
      <w:r>
        <w:rPr>
          <w:rFonts w:ascii="Arial" w:hAnsi="Arial"/>
          <w:b/>
          <w:i w:val="0"/>
        </w:rPr>
        <w:t>Dataset</w:t>
      </w:r>
      <w:r>
        <w:rPr>
          <w:rFonts w:ascii="Arial" w:hAnsi="Arial"/>
          <w:b w:val="0"/>
          <w:i w:val="0"/>
        </w:rPr>
        <w:t xml:space="preserve"> and </w:t>
      </w:r>
      <w:r>
        <w:rPr>
          <w:rFonts w:ascii="Arial" w:hAnsi="Arial"/>
          <w:b/>
          <w:i w:val="0"/>
        </w:rPr>
        <w:t>Task / domain</w:t>
      </w:r>
      <w:r>
        <w:rPr>
          <w:rFonts w:ascii="Arial" w:hAnsi="Arial"/>
          <w:b w:val="0"/>
          <w:i w:val="0"/>
        </w:rPr>
        <w:t xml:space="preserve"> identify the graph and fraud setting. </w:t>
      </w:r>
      <w:r>
        <w:rPr>
          <w:rFonts w:ascii="Arial" w:hAnsi="Arial"/>
          <w:b/>
          <w:i w:val="0"/>
        </w:rPr>
        <w:t>Nodes</w:t>
      </w:r>
      <w:r>
        <w:rPr>
          <w:rFonts w:ascii="Arial" w:hAnsi="Arial"/>
          <w:b w:val="0"/>
          <w:i w:val="0"/>
        </w:rPr>
        <w:t xml:space="preserve">, </w:t>
      </w:r>
      <w:r>
        <w:rPr>
          <w:rFonts w:ascii="Arial" w:hAnsi="Arial"/>
          <w:b/>
          <w:i w:val="0"/>
        </w:rPr>
        <w:t>Edges</w:t>
      </w:r>
      <w:r>
        <w:rPr>
          <w:rFonts w:ascii="Arial" w:hAnsi="Arial"/>
          <w:b w:val="0"/>
          <w:i w:val="0"/>
        </w:rPr>
        <w:t xml:space="preserve"> and </w:t>
      </w:r>
      <w:r>
        <w:rPr>
          <w:rFonts w:ascii="Arial" w:hAnsi="Arial"/>
          <w:b/>
          <w:i w:val="0"/>
        </w:rPr>
        <w:t>Features</w:t>
      </w:r>
      <w:r>
        <w:rPr>
          <w:rFonts w:ascii="Arial" w:hAnsi="Arial"/>
          <w:b w:val="0"/>
          <w:i w:val="0"/>
        </w:rPr>
        <w:t xml:space="preserve"> show the amount of graph structure and input information BWGNN must process; these fields help explain both runtime and difficulty. </w:t>
      </w:r>
      <w:r>
        <w:rPr>
          <w:rFonts w:ascii="Arial" w:hAnsi="Arial"/>
          <w:b/>
          <w:i w:val="0"/>
        </w:rPr>
        <w:t>Fraud / normal</w:t>
      </w:r>
      <w:r>
        <w:rPr>
          <w:rFonts w:ascii="Arial" w:hAnsi="Arial"/>
          <w:b w:val="0"/>
          <w:i w:val="0"/>
        </w:rPr>
        <w:t xml:space="preserve"> and </w:t>
      </w:r>
      <w:r>
        <w:rPr>
          <w:rFonts w:ascii="Arial" w:hAnsi="Arial"/>
          <w:b/>
          <w:i w:val="0"/>
        </w:rPr>
        <w:t>Fraud %</w:t>
      </w:r>
      <w:r>
        <w:rPr>
          <w:rFonts w:ascii="Arial" w:hAnsi="Arial"/>
          <w:b w:val="0"/>
          <w:i w:val="0"/>
        </w:rPr>
        <w:t xml:space="preserve"> show class imbalance, which is central to interpreting AUPRC and recall. </w:t>
      </w:r>
      <w:r>
        <w:rPr>
          <w:rFonts w:ascii="Arial" w:hAnsi="Arial"/>
          <w:b/>
          <w:i w:val="0"/>
        </w:rPr>
        <w:t>BWGNN outcome</w:t>
      </w:r>
      <w:r>
        <w:rPr>
          <w:rFonts w:ascii="Arial" w:hAnsi="Arial"/>
          <w:b w:val="0"/>
          <w:i w:val="0"/>
        </w:rPr>
        <w:t xml:space="preserve"> distinguishes a completed native run, an input-adapter run, or a controlled hardware infeasibility. Edge values are not treated as interchangeable when one source reports deduplicated/reference edges and another stores both directions or adds self-loops.</w:t>
      </w:r>
    </w:p>
    <w:p>
      <w:pPr>
        <w:spacing w:after="120"/>
      </w:pPr>
      <w:r>
        <w:rPr>
          <w:rFonts w:ascii="Arial" w:hAnsi="Arial"/>
          <w:b/>
          <w:i w:val="0"/>
          <w:color w:val="7A1F3D"/>
        </w:rPr>
        <w:t xml:space="preserve">Table 2 — Common controlled comparison conditions. </w:t>
      </w:r>
      <w:r>
        <w:rPr>
          <w:rFonts w:ascii="Arial" w:hAnsi="Arial"/>
          <w:b w:val="0"/>
          <w:i w:val="0"/>
        </w:rPr>
        <w:t xml:space="preserve">This is the main </w:t>
      </w:r>
      <w:r>
        <w:rPr>
          <w:rFonts w:ascii="Arial" w:hAnsi="Arial"/>
          <w:b/>
          <w:i w:val="0"/>
        </w:rPr>
        <w:t>fairness and reproducibility table</w:t>
      </w:r>
      <w:r>
        <w:rPr>
          <w:rFonts w:ascii="Arial" w:hAnsi="Arial"/>
          <w:b w:val="0"/>
          <w:i w:val="0"/>
        </w:rPr>
        <w:t xml:space="preserve">. It records the frozen source commit and actual BWGNN environment, the same controlled T4 hardware, the split seed and final training seeds, the nested split design, the equal tuning budget, the validation-only checkpoint and threshold rules, test isolation, compatibility decisions, metric set, and timing boundaries. These controls follow the current Master Execution Plan: </w:t>
      </w:r>
      <w:r>
        <w:rPr>
          <w:rFonts w:ascii="Arial" w:hAnsi="Arial"/>
          <w:b/>
          <w:i w:val="0"/>
        </w:rPr>
        <w:t>shared split/evaluator/hardware/seeds/timing/tuning rules</w:t>
      </w:r>
      <w:r>
        <w:rPr>
          <w:rFonts w:ascii="Arial" w:hAnsi="Arial"/>
          <w:b w:val="0"/>
          <w:i w:val="0"/>
        </w:rPr>
        <w:t xml:space="preserve"> are fixed, while model integrity is preserved and unsupported model–dataset pairs are not forced. The exact numeric protocol values are </w:t>
      </w:r>
      <w:r>
        <w:rPr>
          <w:rFonts w:ascii="Arial" w:hAnsi="Arial"/>
          <w:b/>
          <w:i w:val="0"/>
        </w:rPr>
        <w:t>team-selected protocol choices</w:t>
      </w:r>
      <w:r>
        <w:rPr>
          <w:rFonts w:ascii="Arial" w:hAnsi="Arial"/>
          <w:b w:val="0"/>
          <w:i w:val="0"/>
        </w:rPr>
        <w:t>; they should not be presented as values personally chosen by Venus.</w:t>
      </w:r>
    </w:p>
    <w:p>
      <w:pPr>
        <w:spacing w:after="120"/>
      </w:pPr>
      <w:r>
        <w:rPr>
          <w:rFonts w:ascii="Arial" w:hAnsi="Arial"/>
          <w:b/>
          <w:i w:val="0"/>
          <w:color w:val="7A1F3D"/>
        </w:rPr>
        <w:t xml:space="preserve">Table 3 — Frozen BWGNN configuration by dataset. </w:t>
      </w:r>
      <w:r>
        <w:rPr>
          <w:rFonts w:ascii="Arial" w:hAnsi="Arial"/>
          <w:b/>
          <w:i w:val="0"/>
        </w:rPr>
        <w:t>Compatibility / execution</w:t>
      </w:r>
      <w:r>
        <w:rPr>
          <w:rFonts w:ascii="Arial" w:hAnsi="Arial"/>
          <w:b w:val="0"/>
          <w:i w:val="0"/>
        </w:rPr>
        <w:t xml:space="preserve"> shows whether BWGNN used its native path or a representation-only adapter. </w:t>
      </w:r>
      <w:r>
        <w:rPr>
          <w:rFonts w:ascii="Arial" w:hAnsi="Arial"/>
          <w:b/>
          <w:i w:val="0"/>
        </w:rPr>
        <w:t>Hidden</w:t>
      </w:r>
      <w:r>
        <w:rPr>
          <w:rFonts w:ascii="Arial" w:hAnsi="Arial"/>
          <w:b w:val="0"/>
          <w:i w:val="0"/>
        </w:rPr>
        <w:t xml:space="preserve"> is embedding width, </w:t>
      </w:r>
      <w:r>
        <w:rPr>
          <w:rFonts w:ascii="Arial" w:hAnsi="Arial"/>
          <w:b/>
          <w:i w:val="0"/>
        </w:rPr>
        <w:t>Order</w:t>
      </w:r>
      <w:r>
        <w:rPr>
          <w:rFonts w:ascii="Arial" w:hAnsi="Arial"/>
          <w:b w:val="0"/>
          <w:i w:val="0"/>
        </w:rPr>
        <w:t xml:space="preserve"> is the beta-wavelet order, and </w:t>
      </w:r>
      <w:r>
        <w:rPr>
          <w:rFonts w:ascii="Arial" w:hAnsi="Arial"/>
          <w:b/>
          <w:i w:val="0"/>
        </w:rPr>
        <w:t>Learning rate</w:t>
      </w:r>
      <w:r>
        <w:rPr>
          <w:rFonts w:ascii="Arial" w:hAnsi="Arial"/>
          <w:b w:val="0"/>
          <w:i w:val="0"/>
        </w:rPr>
        <w:t xml:space="preserve"> is the optimizer step size. </w:t>
      </w:r>
      <w:r>
        <w:rPr>
          <w:rFonts w:ascii="Arial" w:hAnsi="Arial"/>
          <w:b/>
          <w:i w:val="0"/>
        </w:rPr>
        <w:t>Frozen treatment</w:t>
      </w:r>
      <w:r>
        <w:rPr>
          <w:rFonts w:ascii="Arial" w:hAnsi="Arial"/>
          <w:b w:val="0"/>
          <w:i w:val="0"/>
        </w:rPr>
        <w:t xml:space="preserve"> records how the selected TR40 configuration was reused unchanged for lower training ratios. Different datasets can legitimately have different winning hyperparameters because fairness comes from an </w:t>
      </w:r>
      <w:r>
        <w:rPr>
          <w:rFonts w:ascii="Arial" w:hAnsi="Arial"/>
          <w:b/>
          <w:i w:val="0"/>
        </w:rPr>
        <w:t>equal tuning budget and validation-only selection</w:t>
      </w:r>
      <w:r>
        <w:rPr>
          <w:rFonts w:ascii="Arial" w:hAnsi="Arial"/>
          <w:b w:val="0"/>
          <w:i w:val="0"/>
        </w:rPr>
        <w:t>, not from forcing one parameter set onto graphs with very different scale, features and structure.</w:t>
      </w:r>
    </w:p>
    <w:p>
      <w:pPr>
        <w:spacing w:after="120"/>
      </w:pPr>
      <w:r>
        <w:rPr>
          <w:rFonts w:ascii="Arial" w:hAnsi="Arial"/>
          <w:b/>
          <w:i w:val="0"/>
          <w:color w:val="7A1F3D"/>
        </w:rPr>
        <w:t xml:space="preserve">Table 4 — Core test performance across training-label availability. </w:t>
      </w:r>
      <w:r>
        <w:rPr>
          <w:rFonts w:ascii="Arial" w:hAnsi="Arial"/>
          <w:b/>
          <w:i w:val="0"/>
        </w:rPr>
        <w:t>Train subset</w:t>
      </w:r>
      <w:r>
        <w:rPr>
          <w:rFonts w:ascii="Arial" w:hAnsi="Arial"/>
          <w:b w:val="0"/>
          <w:i w:val="0"/>
        </w:rPr>
        <w:t xml:space="preserve"> represents how much labelled training data is available while the validation and test sets stay fixed. </w:t>
      </w:r>
      <w:r>
        <w:rPr>
          <w:rFonts w:ascii="Arial" w:hAnsi="Arial"/>
          <w:b/>
          <w:i w:val="0"/>
        </w:rPr>
        <w:t>AUPRC</w:t>
      </w:r>
      <w:r>
        <w:rPr>
          <w:rFonts w:ascii="Arial" w:hAnsi="Arial"/>
          <w:b w:val="0"/>
          <w:i w:val="0"/>
        </w:rPr>
        <w:t xml:space="preserve"> is the primary minority-class ranking metric; </w:t>
      </w:r>
      <w:r>
        <w:rPr>
          <w:rFonts w:ascii="Arial" w:hAnsi="Arial"/>
          <w:b/>
          <w:i w:val="0"/>
        </w:rPr>
        <w:t>AUROC</w:t>
      </w:r>
      <w:r>
        <w:rPr>
          <w:rFonts w:ascii="Arial" w:hAnsi="Arial"/>
          <w:b w:val="0"/>
          <w:i w:val="0"/>
        </w:rPr>
        <w:t xml:space="preserve"> measures overall ranking separation; </w:t>
      </w:r>
      <w:r>
        <w:rPr>
          <w:rFonts w:ascii="Arial" w:hAnsi="Arial"/>
          <w:b/>
          <w:i w:val="0"/>
        </w:rPr>
        <w:t>Macro-F1</w:t>
      </w:r>
      <w:r>
        <w:rPr>
          <w:rFonts w:ascii="Arial" w:hAnsi="Arial"/>
          <w:b w:val="0"/>
          <w:i w:val="0"/>
        </w:rPr>
        <w:t xml:space="preserve"> gives equal class weight; and </w:t>
      </w:r>
      <w:r>
        <w:rPr>
          <w:rFonts w:ascii="Arial" w:hAnsi="Arial"/>
          <w:b/>
          <w:i w:val="0"/>
        </w:rPr>
        <w:t>Fraud recall</w:t>
      </w:r>
      <w:r>
        <w:rPr>
          <w:rFonts w:ascii="Arial" w:hAnsi="Arial"/>
          <w:b w:val="0"/>
          <w:i w:val="0"/>
        </w:rPr>
        <w:t xml:space="preserve"> reports how many true fraud cases are recovered at the validation-selected threshold. Each value is </w:t>
      </w:r>
      <w:r>
        <w:rPr>
          <w:rFonts w:ascii="Arial" w:hAnsi="Arial"/>
          <w:b/>
          <w:i w:val="0"/>
        </w:rPr>
        <w:t>mean ± sample standard deviation</w:t>
      </w:r>
      <w:r>
        <w:rPr>
          <w:rFonts w:ascii="Arial" w:hAnsi="Arial"/>
          <w:b w:val="0"/>
          <w:i w:val="0"/>
        </w:rPr>
        <w:t xml:space="preserve"> over seeds 2, 42 and 72 using the n−1 convention. The standard deviation matters: a high mean with large variation, such as Elliptic TR30, is weaker evidence of a stable advantage than a similar mean with low variation.</w:t>
      </w:r>
    </w:p>
    <w:p>
      <w:pPr>
        <w:spacing w:after="120"/>
      </w:pPr>
      <w:r>
        <w:rPr>
          <w:rFonts w:ascii="Arial" w:hAnsi="Arial"/>
          <w:b/>
          <w:i w:val="0"/>
          <w:color w:val="7A1F3D"/>
        </w:rPr>
        <w:t xml:space="preserve">Table 5 — Cross-dataset AUPRC view. </w:t>
      </w:r>
      <w:r>
        <w:rPr>
          <w:rFonts w:ascii="Arial" w:hAnsi="Arial"/>
          <w:b w:val="0"/>
          <w:i w:val="0"/>
        </w:rPr>
        <w:t xml:space="preserve">Rows hold the four controlled training-label levels and columns hold the six datasets, so the table gives the fastest view of </w:t>
      </w:r>
      <w:r>
        <w:rPr>
          <w:rFonts w:ascii="Arial" w:hAnsi="Arial"/>
          <w:b/>
          <w:i w:val="0"/>
        </w:rPr>
        <w:t>label efficiency</w:t>
      </w:r>
      <w:r>
        <w:rPr>
          <w:rFonts w:ascii="Arial" w:hAnsi="Arial"/>
          <w:b w:val="0"/>
          <w:i w:val="0"/>
        </w:rPr>
        <w:t xml:space="preserve"> and </w:t>
      </w:r>
      <w:r>
        <w:rPr>
          <w:rFonts w:ascii="Arial" w:hAnsi="Arial"/>
          <w:b/>
          <w:i w:val="0"/>
        </w:rPr>
        <w:t>cross-dataset robustness</w:t>
      </w:r>
      <w:r>
        <w:rPr>
          <w:rFonts w:ascii="Arial" w:hAnsi="Arial"/>
          <w:b w:val="0"/>
          <w:i w:val="0"/>
        </w:rPr>
        <w:t xml:space="preserve"> for the same model. Amazon remains high across all ratios; YelpChi declines as labels are removed; T-Finance is strong but non-monotonic; FDCompCN remains low; Elliptic is moderate and variable; and T-Social is deliberately shown as </w:t>
      </w:r>
      <w:r>
        <w:rPr>
          <w:rFonts w:ascii="Arial" w:hAnsi="Arial"/>
          <w:b/>
          <w:i w:val="0"/>
        </w:rPr>
        <w:t>N/A — T4 OOM</w:t>
      </w:r>
      <w:r>
        <w:rPr>
          <w:rFonts w:ascii="Arial" w:hAnsi="Arial"/>
          <w:b w:val="0"/>
          <w:i w:val="0"/>
        </w:rPr>
        <w:t xml:space="preserve"> rather than assigned an artificial score. The table is useful for pattern comparison, but it should not be used to claim that one dataset is inherently easier because the domains and graph structures differ.</w:t>
      </w:r>
    </w:p>
    <w:p>
      <w:pPr>
        <w:spacing w:after="120"/>
      </w:pPr>
      <w:r>
        <w:rPr>
          <w:rFonts w:ascii="Arial" w:hAnsi="Arial"/>
          <w:b/>
          <w:i w:val="0"/>
          <w:color w:val="7A1F3D"/>
        </w:rPr>
        <w:t xml:space="preserve">Table 6 — Computational efficiency at TR40. </w:t>
      </w:r>
      <w:r>
        <w:rPr>
          <w:rFonts w:ascii="Arial" w:hAnsi="Arial"/>
          <w:b/>
          <w:i w:val="0"/>
        </w:rPr>
        <w:t>Mean train / epoch</w:t>
      </w:r>
      <w:r>
        <w:rPr>
          <w:rFonts w:ascii="Arial" w:hAnsi="Arial"/>
          <w:b w:val="0"/>
          <w:i w:val="0"/>
        </w:rPr>
        <w:t xml:space="preserve"> measures training-only time per epoch, </w:t>
      </w:r>
      <w:r>
        <w:rPr>
          <w:rFonts w:ascii="Arial" w:hAnsi="Arial"/>
          <w:b/>
          <w:i w:val="0"/>
        </w:rPr>
        <w:t>Total train</w:t>
      </w:r>
      <w:r>
        <w:rPr>
          <w:rFonts w:ascii="Arial" w:hAnsi="Arial"/>
          <w:b w:val="0"/>
          <w:i w:val="0"/>
        </w:rPr>
        <w:t xml:space="preserve"> measures accumulated training-only time, </w:t>
      </w:r>
      <w:r>
        <w:rPr>
          <w:rFonts w:ascii="Arial" w:hAnsi="Arial"/>
          <w:b/>
          <w:i w:val="0"/>
        </w:rPr>
        <w:t>Inference latency</w:t>
      </w:r>
      <w:r>
        <w:rPr>
          <w:rFonts w:ascii="Arial" w:hAnsi="Arial"/>
          <w:b w:val="0"/>
          <w:i w:val="0"/>
        </w:rPr>
        <w:t xml:space="preserve"> is post-training prediction time, and </w:t>
      </w:r>
      <w:r>
        <w:rPr>
          <w:rFonts w:ascii="Arial" w:hAnsi="Arial"/>
          <w:b/>
          <w:i w:val="0"/>
        </w:rPr>
        <w:t>Peak GPU memory</w:t>
      </w:r>
      <w:r>
        <w:rPr>
          <w:rFonts w:ascii="Arial" w:hAnsi="Arial"/>
          <w:b w:val="0"/>
          <w:i w:val="0"/>
        </w:rPr>
        <w:t xml:space="preserve"> captures accelerator demand. These columns separate </w:t>
      </w:r>
      <w:r>
        <w:rPr>
          <w:rFonts w:ascii="Arial" w:hAnsi="Arial"/>
          <w:b/>
          <w:i w:val="0"/>
        </w:rPr>
        <w:t>effectiveness</w:t>
      </w:r>
      <w:r>
        <w:rPr>
          <w:rFonts w:ascii="Arial" w:hAnsi="Arial"/>
          <w:b w:val="0"/>
          <w:i w:val="0"/>
        </w:rPr>
        <w:t xml:space="preserve"> from </w:t>
      </w:r>
      <w:r>
        <w:rPr>
          <w:rFonts w:ascii="Arial" w:hAnsi="Arial"/>
          <w:b/>
          <w:i w:val="0"/>
        </w:rPr>
        <w:t>cost and feasibility</w:t>
      </w:r>
      <w:r>
        <w:rPr>
          <w:rFonts w:ascii="Arial" w:hAnsi="Arial"/>
          <w:b w:val="0"/>
          <w:i w:val="0"/>
        </w:rPr>
        <w:t>. The evidence note is essential because YelpChi and Amazon use supplemental timing backfills with frozen configurations; their primary Step 15 and Step 19 performance metrics are not replaced by the backfill verification metrics. T-Social demonstrates the opposite extreme: feasibility fails before a comparable full-grid runtime can be produced.</w:t>
      </w:r>
    </w:p>
    <w:p>
      <w:pPr>
        <w:spacing w:after="120"/>
      </w:pPr>
      <w:r>
        <w:rPr>
          <w:rFonts w:ascii="Arial" w:hAnsi="Arial"/>
          <w:b/>
          <w:i w:val="0"/>
          <w:color w:val="7A1F3D"/>
        </w:rPr>
        <w:t xml:space="preserve">Table 7 — Dataset-specific validity challenges and controlled treatment. </w:t>
      </w:r>
      <w:r>
        <w:rPr>
          <w:rFonts w:ascii="Arial" w:hAnsi="Arial"/>
          <w:b/>
          <w:i w:val="0"/>
        </w:rPr>
        <w:t>Challenge</w:t>
      </w:r>
      <w:r>
        <w:rPr>
          <w:rFonts w:ascii="Arial" w:hAnsi="Arial"/>
          <w:b w:val="0"/>
          <w:i w:val="0"/>
        </w:rPr>
        <w:t xml:space="preserve"> states the concrete source of risk, </w:t>
      </w:r>
      <w:r>
        <w:rPr>
          <w:rFonts w:ascii="Arial" w:hAnsi="Arial"/>
          <w:b/>
          <w:i w:val="0"/>
        </w:rPr>
        <w:t>Controlled treatment</w:t>
      </w:r>
      <w:r>
        <w:rPr>
          <w:rFonts w:ascii="Arial" w:hAnsi="Arial"/>
          <w:b w:val="0"/>
          <w:i w:val="0"/>
        </w:rPr>
        <w:t xml:space="preserve"> records the action taken without redesigning BWGNN, and </w:t>
      </w:r>
      <w:r>
        <w:rPr>
          <w:rFonts w:ascii="Arial" w:hAnsi="Arial"/>
          <w:b/>
          <w:i w:val="0"/>
        </w:rPr>
        <w:t>Effect on interpretation</w:t>
      </w:r>
      <w:r>
        <w:rPr>
          <w:rFonts w:ascii="Arial" w:hAnsi="Arial"/>
          <w:b w:val="0"/>
          <w:i w:val="0"/>
        </w:rPr>
        <w:t xml:space="preserve"> sets the boundary on what can be claimed. The most important cases are Amazon’s 3,305 non-supervised nodes, T-Finance’s audited one-hot labels, T-Social’s full-graph memory failure, FDCompCN’s representation-only adapter and three semantic relations plus a stored homogeneous view, and Elliptic’s chronological split with unknown-labelled nodes excluded from supervision. This table prevents hidden preprocessing differences from being mistaken for model performance differences.</w:t>
      </w:r>
    </w:p>
    <w:p>
      <w:pPr>
        <w:spacing w:after="120"/>
      </w:pPr>
      <w:r>
        <w:rPr>
          <w:rFonts w:ascii="Arial" w:hAnsi="Arial"/>
          <w:b/>
          <w:i w:val="0"/>
          <w:color w:val="7A1F3D"/>
        </w:rPr>
        <w:t xml:space="preserve">Table 8 — Evidence completeness. </w:t>
      </w:r>
      <w:r>
        <w:rPr>
          <w:rFonts w:ascii="Arial" w:hAnsi="Arial"/>
          <w:b/>
          <w:i w:val="0"/>
        </w:rPr>
        <w:t>Completed runs / attempts</w:t>
      </w:r>
      <w:r>
        <w:rPr>
          <w:rFonts w:ascii="Arial" w:hAnsi="Arial"/>
          <w:b w:val="0"/>
          <w:i w:val="0"/>
        </w:rPr>
        <w:t xml:space="preserve"> shows whether the full 4-ratio × 3-seed grid exists or only compatibility evidence exists; </w:t>
      </w:r>
      <w:r>
        <w:rPr>
          <w:rFonts w:ascii="Arial" w:hAnsi="Arial"/>
          <w:b/>
          <w:i w:val="0"/>
        </w:rPr>
        <w:t>Raw timing</w:t>
      </w:r>
      <w:r>
        <w:rPr>
          <w:rFonts w:ascii="Arial" w:hAnsi="Arial"/>
          <w:b w:val="0"/>
          <w:i w:val="0"/>
        </w:rPr>
        <w:t xml:space="preserve"> confirms retention of per-epoch timing files; </w:t>
      </w:r>
      <w:r>
        <w:rPr>
          <w:rFonts w:ascii="Arial" w:hAnsi="Arial"/>
          <w:b/>
          <w:i w:val="0"/>
        </w:rPr>
        <w:t>Authoritative evidence</w:t>
      </w:r>
      <w:r>
        <w:rPr>
          <w:rFonts w:ascii="Arial" w:hAnsi="Arial"/>
          <w:b w:val="0"/>
          <w:i w:val="0"/>
        </w:rPr>
        <w:t xml:space="preserve"> points to the notebook stage that governs the result; </w:t>
      </w:r>
      <w:r>
        <w:rPr>
          <w:rFonts w:ascii="Arial" w:hAnsi="Arial"/>
          <w:b/>
          <w:i w:val="0"/>
        </w:rPr>
        <w:t>Test used for selection?</w:t>
      </w:r>
      <w:r>
        <w:rPr>
          <w:rFonts w:ascii="Arial" w:hAnsi="Arial"/>
          <w:b w:val="0"/>
          <w:i w:val="0"/>
        </w:rPr>
        <w:t xml:space="preserve"> is the leakage check; and </w:t>
      </w:r>
      <w:r>
        <w:rPr>
          <w:rFonts w:ascii="Arial" w:hAnsi="Arial"/>
          <w:b/>
          <w:i w:val="0"/>
        </w:rPr>
        <w:t>Final status</w:t>
      </w:r>
      <w:r>
        <w:rPr>
          <w:rFonts w:ascii="Arial" w:hAnsi="Arial"/>
          <w:b w:val="0"/>
          <w:i w:val="0"/>
        </w:rPr>
        <w:t xml:space="preserve"> states whether the dataset enters the performance comparison. The table is the audit trail connecting summary numbers to frozen configuration, run JSONs, timing CSVs, split/config/environment records and packaged evidence. A documented failure such as T-Social remains valid evidence even though it does not enter the performance table.</w:t>
      </w:r>
    </w:p>
    <w:p>
      <w:pPr>
        <w:pStyle w:val="Heading1"/>
      </w:pPr>
      <w:r>
        <w:rPr>
          <w:rFonts w:ascii="Arial" w:hAnsi="Arial"/>
          <w:b/>
          <w:color w:val="7A1F3D"/>
        </w:rPr>
        <w:t>10. Interpretation and workflow</w:t>
      </w:r>
    </w:p>
    <w:p>
      <w:pPr>
        <w:pStyle w:val="Heading2"/>
        <w:spacing w:after="80"/>
      </w:pPr>
      <w:r>
        <w:rPr>
          <w:rFonts w:ascii="Arial" w:hAnsi="Arial"/>
          <w:b/>
          <w:i w:val="0"/>
          <w:color w:val="7A1F3D"/>
        </w:rPr>
        <w:t>10.1 Interpretation</w:t>
      </w:r>
    </w:p>
    <w:p>
      <w:pPr>
        <w:pStyle w:val="ListBullet"/>
        <w:spacing w:after="60"/>
      </w:pPr>
      <w:r>
        <w:rPr>
          <w:rFonts w:ascii="Arial" w:hAnsi="Arial"/>
          <w:b/>
          <w:i w:val="0"/>
        </w:rPr>
        <w:t xml:space="preserve">Primary comparison — </w:t>
      </w:r>
      <w:r>
        <w:rPr>
          <w:rFonts w:ascii="Arial" w:hAnsi="Arial"/>
          <w:b w:val="0"/>
          <w:i w:val="0"/>
        </w:rPr>
        <w:t>AUPRC should lead the cross-dataset discussion because fraud is the minority class in all six datasets; AUROC, Macro-F1, fraud recall and seed variation provide supporting evidence.</w:t>
      </w:r>
    </w:p>
    <w:p>
      <w:pPr>
        <w:pStyle w:val="ListBullet"/>
        <w:spacing w:after="60"/>
      </w:pPr>
      <w:r>
        <w:rPr>
          <w:rFonts w:ascii="Arial" w:hAnsi="Arial"/>
          <w:b/>
          <w:i w:val="0"/>
        </w:rPr>
        <w:t xml:space="preserve">Strongest completed result — </w:t>
      </w:r>
      <w:r>
        <w:rPr>
          <w:rFonts w:ascii="Arial" w:hAnsi="Arial"/>
          <w:b w:val="0"/>
          <w:i w:val="0"/>
        </w:rPr>
        <w:t>Amazon combines high AUPRC/AUROC, high fraud recall and low seed variation across all four training ratios.</w:t>
      </w:r>
    </w:p>
    <w:p>
      <w:pPr>
        <w:pStyle w:val="ListBullet"/>
        <w:spacing w:after="60"/>
      </w:pPr>
      <w:r>
        <w:rPr>
          <w:rFonts w:ascii="Arial" w:hAnsi="Arial"/>
          <w:b/>
          <w:i w:val="0"/>
        </w:rPr>
        <w:t xml:space="preserve">Label-scarcity pattern — </w:t>
      </w:r>
      <w:r>
        <w:rPr>
          <w:rFonts w:ascii="Arial" w:hAnsi="Arial"/>
          <w:b w:val="0"/>
          <w:i w:val="0"/>
        </w:rPr>
        <w:t>YelpChi shows the clearest consistent decline as training availability falls: AUPRC drops from 0.535571 at TR40 to 0.417143 at TR10.</w:t>
      </w:r>
    </w:p>
    <w:p>
      <w:pPr>
        <w:pStyle w:val="ListBullet"/>
        <w:spacing w:after="60"/>
      </w:pPr>
      <w:r>
        <w:rPr>
          <w:rFonts w:ascii="Arial" w:hAnsi="Arial"/>
          <w:b/>
          <w:i w:val="0"/>
        </w:rPr>
        <w:t xml:space="preserve">Variability finding — </w:t>
      </w:r>
      <w:r>
        <w:rPr>
          <w:rFonts w:ascii="Arial" w:hAnsi="Arial"/>
          <w:b w:val="0"/>
          <w:i w:val="0"/>
        </w:rPr>
        <w:t>T-Finance is effective but non-monotonic; its higher TR10 mean should be reported as an observed three-seed result, not evidence that less training data is generally better.</w:t>
      </w:r>
    </w:p>
    <w:p>
      <w:pPr>
        <w:pStyle w:val="ListBullet"/>
        <w:spacing w:after="60"/>
      </w:pPr>
      <w:r>
        <w:rPr>
          <w:rFonts w:ascii="Arial" w:hAnsi="Arial"/>
          <w:b/>
          <w:i w:val="0"/>
        </w:rPr>
        <w:t xml:space="preserve">Weak model–dataset fit — </w:t>
      </w:r>
      <w:r>
        <w:rPr>
          <w:rFonts w:ascii="Arial" w:hAnsi="Arial"/>
          <w:b w:val="0"/>
          <w:i w:val="0"/>
        </w:rPr>
        <w:t>FDCompCN is extremely fast but has the lowest AUPRC and fraud recall, showing that computational efficiency does not imply detection quality.</w:t>
      </w:r>
    </w:p>
    <w:p>
      <w:pPr>
        <w:pStyle w:val="ListBullet"/>
        <w:spacing w:after="60"/>
      </w:pPr>
      <w:r>
        <w:rPr>
          <w:rFonts w:ascii="Arial" w:hAnsi="Arial"/>
          <w:b/>
          <w:i w:val="0"/>
        </w:rPr>
        <w:t xml:space="preserve">Temporal finding — </w:t>
      </w:r>
      <w:r>
        <w:rPr>
          <w:rFonts w:ascii="Arial" w:hAnsi="Arial"/>
          <w:b w:val="0"/>
          <w:i w:val="0"/>
        </w:rPr>
        <w:t>Elliptic preserves chronology. TR30 has the highest mean AUPRC but also very large seed variation, so it is not a stable superiority claim over TR40.</w:t>
      </w:r>
    </w:p>
    <w:p>
      <w:pPr>
        <w:pStyle w:val="ListBullet"/>
        <w:spacing w:after="60"/>
      </w:pPr>
      <w:r>
        <w:rPr>
          <w:rFonts w:ascii="Arial" w:hAnsi="Arial"/>
          <w:b/>
          <w:i w:val="0"/>
        </w:rPr>
        <w:t xml:space="preserve">Scalability finding — </w:t>
      </w:r>
      <w:r>
        <w:rPr>
          <w:rFonts w:ascii="Arial" w:hAnsi="Arial"/>
          <w:b w:val="0"/>
          <w:i w:val="0"/>
        </w:rPr>
        <w:t>T-Social is a valid feasibility result: the canonical full graph exceeded T4 memory through hidden-size reductions down to 8, and no sampling or graph reduction was introduced simply to obtain a score.</w:t>
      </w:r>
    </w:p>
    <w:p>
      <w:pPr>
        <w:pStyle w:val="Heading2"/>
        <w:spacing w:after="80"/>
      </w:pPr>
      <w:r>
        <w:rPr>
          <w:rFonts w:ascii="Arial" w:hAnsi="Arial"/>
          <w:b/>
          <w:i w:val="0"/>
          <w:color w:val="7A1F3D"/>
        </w:rPr>
        <w:t>10.2 Workflow followed</w:t>
      </w:r>
    </w:p>
    <w:p>
      <w:pPr>
        <w:pStyle w:val="ListNumber"/>
        <w:spacing w:after="60"/>
      </w:pPr>
      <w:r>
        <w:rPr>
          <w:rFonts w:ascii="Arial" w:hAnsi="Arial"/>
          <w:b/>
          <w:i w:val="0"/>
        </w:rPr>
        <w:t xml:space="preserve">Freeze source and environment — </w:t>
      </w:r>
      <w:r>
        <w:rPr>
          <w:rFonts w:ascii="Arial" w:hAnsi="Arial"/>
          <w:b w:val="0"/>
          <w:i w:val="0"/>
        </w:rPr>
        <w:t>verify the official BWGNN repository, lock commit de0631f..., and use the isolated author-compatible Python/PyTorch/DGL environment on controlled T4 GPU 0.</w:t>
      </w:r>
    </w:p>
    <w:p>
      <w:pPr>
        <w:pStyle w:val="ListNumber"/>
        <w:spacing w:after="60"/>
      </w:pPr>
      <w:r>
        <w:rPr>
          <w:rFonts w:ascii="Arial" w:hAnsi="Arial"/>
          <w:b/>
          <w:i w:val="0"/>
        </w:rPr>
        <w:t xml:space="preserve">Pass the dataset and compatibility gate — </w:t>
      </w:r>
      <w:r>
        <w:rPr>
          <w:rFonts w:ascii="Arial" w:hAnsi="Arial"/>
          <w:b w:val="0"/>
          <w:i w:val="0"/>
        </w:rPr>
        <w:t>verify graph/label structure and frozen split assets, then classify the model–dataset pair as native, input-adapter eligible, conditional, or infeasible before final experimentation.</w:t>
      </w:r>
    </w:p>
    <w:p>
      <w:pPr>
        <w:pStyle w:val="ListNumber"/>
        <w:spacing w:after="60"/>
      </w:pPr>
      <w:r>
        <w:rPr>
          <w:rFonts w:ascii="Arial" w:hAnsi="Arial"/>
          <w:b/>
          <w:i w:val="0"/>
        </w:rPr>
        <w:t xml:space="preserve">Keep experimental modes separate — </w:t>
      </w:r>
      <w:r>
        <w:rPr>
          <w:rFonts w:ascii="Arial" w:hAnsi="Arial"/>
          <w:b w:val="0"/>
          <w:i w:val="0"/>
        </w:rPr>
        <w:t>author-code reproduction/validation or feasibility evidence is stored separately from the unified benchmark; this report does not mix their metrics.</w:t>
      </w:r>
    </w:p>
    <w:p>
      <w:pPr>
        <w:pStyle w:val="ListNumber"/>
        <w:spacing w:after="60"/>
      </w:pPr>
      <w:r>
        <w:rPr>
          <w:rFonts w:ascii="Arial" w:hAnsi="Arial"/>
          <w:b/>
          <w:i w:val="0"/>
        </w:rPr>
        <w:t xml:space="preserve">Tune only on TR40 — </w:t>
      </w:r>
      <w:r>
        <w:rPr>
          <w:rFonts w:ascii="Arial" w:hAnsi="Arial"/>
          <w:b w:val="0"/>
          <w:i w:val="0"/>
        </w:rPr>
        <w:t>use training seed 2, at most 12 trials, maximum 100 epochs and patience 20; select the checkpoint by validation AUPRC only.</w:t>
      </w:r>
    </w:p>
    <w:p>
      <w:pPr>
        <w:pStyle w:val="ListNumber"/>
        <w:spacing w:after="60"/>
      </w:pPr>
      <w:r>
        <w:rPr>
          <w:rFonts w:ascii="Arial" w:hAnsi="Arial"/>
          <w:b/>
          <w:i w:val="0"/>
        </w:rPr>
        <w:t xml:space="preserve">Freeze and run the final grid — </w:t>
      </w:r>
      <w:r>
        <w:rPr>
          <w:rFonts w:ascii="Arial" w:hAnsi="Arial"/>
          <w:b w:val="0"/>
          <w:i w:val="0"/>
        </w:rPr>
        <w:t>reuse the winning configuration for TR40/TR30/TR20/TR10 with training seeds 2, 42 and 72; do not retune lower ratios.</w:t>
      </w:r>
    </w:p>
    <w:p>
      <w:pPr>
        <w:pStyle w:val="ListNumber"/>
        <w:spacing w:after="60"/>
      </w:pPr>
      <w:r>
        <w:rPr>
          <w:rFonts w:ascii="Arial" w:hAnsi="Arial"/>
          <w:b/>
          <w:i w:val="0"/>
        </w:rPr>
        <w:t xml:space="preserve">Select threshold on validation and evaluate test once — </w:t>
      </w:r>
      <w:r>
        <w:rPr>
          <w:rFonts w:ascii="Arial" w:hAnsi="Arial"/>
          <w:b w:val="0"/>
          <w:i w:val="0"/>
        </w:rPr>
        <w:t>choose the threshold by validation Macro-F1 with the fixed tie-break rules, then compute test metrics only after hyperparameters, checkpoint and threshold are frozen.</w:t>
      </w:r>
    </w:p>
    <w:p>
      <w:pPr>
        <w:pStyle w:val="ListNumber"/>
        <w:spacing w:after="60"/>
      </w:pPr>
      <w:r>
        <w:rPr>
          <w:rFonts w:ascii="Arial" w:hAnsi="Arial"/>
          <w:b/>
          <w:i w:val="0"/>
        </w:rPr>
        <w:t xml:space="preserve">Record efficiency and package evidence — </w:t>
      </w:r>
      <w:r>
        <w:rPr>
          <w:rFonts w:ascii="Arial" w:hAnsi="Arial"/>
          <w:b w:val="0"/>
          <w:i w:val="0"/>
        </w:rPr>
        <w:t>retain raw epoch timing, total training time, inference latency, peak GPU memory, configs, run JSONs, split/environment records and checksums; T-Social stops at the documented hardware-feasibility gate rather than being forced into an incomparable run.</w:t>
      </w:r>
    </w:p>
    <w:p>
      <w:pPr>
        <w:pStyle w:val="Heading1"/>
      </w:pPr>
      <w:r>
        <w:t>11. Evidence basis</w:t>
      </w:r>
    </w:p>
    <w:p>
      <w:pPr>
        <w:pStyle w:val="ListBullet"/>
        <w:spacing w:after="60"/>
      </w:pPr>
      <w:r>
        <w:rPr>
          <w:rFonts w:ascii="Arial" w:hAnsi="Arial"/>
          <w:b/>
          <w:i w:val="0"/>
        </w:rPr>
        <w:t xml:space="preserve">Experiment execution record: </w:t>
      </w:r>
      <w:r>
        <w:rPr>
          <w:rFonts w:ascii="Arial" w:hAnsi="Arial"/>
          <w:b w:val="0"/>
          <w:i w:val="0"/>
        </w:rPr>
        <w:t xml:space="preserve">bwgnn-3.ipynb contains the executed training/tuning workflow through Step 34, including Elliptic final runs. </w:t>
      </w:r>
      <w:r>
        <w:rPr>
          <w:rFonts w:ascii="Arial" w:hAnsi="Arial"/>
          <w:b/>
          <w:i w:val="0"/>
        </w:rPr>
        <w:t>bwgnn-4.ipynb</w:t>
      </w:r>
      <w:r>
        <w:rPr>
          <w:rFonts w:ascii="Arial" w:hAnsi="Arial"/>
          <w:b w:val="0"/>
          <w:i w:val="0"/>
        </w:rPr>
        <w:t xml:space="preserve"> is the later continuation carrying the prior history plus Step 35 evidence packaging and Step 36-series closure/restoration cells; those Step 36-series cells do not create new model training or evaluation results. Authoritative performance stages: YelpChi Step 15; Amazon Step 19; T-Finance Step 22B; T-Social Steps 27O–27P compatibility/infeasibility evidence; FDCompCN Step 30 final runs (Step 31 packaging); Elliptic Step 34 final runs (Step 35 packaging).</w:t>
      </w:r>
    </w:p>
    <w:p>
      <w:pPr>
        <w:pStyle w:val="ListBullet"/>
        <w:spacing w:after="40"/>
      </w:pPr>
      <w:r>
        <w:t>Packaged evidence: bwgnn_yelp_amazon_timing_evidence_20260909.zip; bwgnn_tfinance_evidence_20260909.zip; bwgnn_tsocial_compatibility_evidence_20260909.zip; bwgnn_fdcompcn_complete_evidence_20260910.zip; bwgnn_elliptic_complete_evidence_20260910.zip.</w:t>
      </w:r>
    </w:p>
    <w:p>
      <w:pPr>
        <w:pStyle w:val="ListBullet"/>
        <w:spacing w:after="40"/>
      </w:pPr>
      <w:r>
        <w:t>Frozen BWGNN source commit: de0631f039bbd19c1890b483cc01f1007f596af7.</w:t>
      </w:r>
    </w:p>
    <w:p>
      <w:pPr>
        <w:pStyle w:val="ListBullet"/>
        <w:spacing w:after="40"/>
      </w:pPr>
      <w:r>
        <w:t>Benchmark presentation/metric reference: Tang et al. (2023), GADBench: Revisiting and Benchmarking Supervised Graph Anomaly Detection, NeurIPS 2023. GADBench reports cross-dataset AUROC/AUPRC and efficiency/memory; this report adapts that comparison logic to the team's six-dataset, single-model controlled protocol.</w:t>
      </w:r>
    </w:p>
    <w:sectPr w:rsidR="00FC693F" w:rsidRPr="0006063C" w:rsidSect="00034616">
      <w:footerReference w:type="default" r:id="rId9"/>
      <w:pgSz w:w="11906" w:h="16838"/>
      <w:pgMar w:top="691" w:right="691" w:bottom="691"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7A1F3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7A1F3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7A1F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BWGNN Benchmark Findings — Six-Dataset Controlled Study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