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" w:after="100"/>
      </w:pPr>
      <w:r>
        <w:rPr>
          <w:rFonts w:ascii="Calibri" w:hAnsi="Calibri"/>
          <w:b/>
          <w:color w:val="0B2545"/>
          <w:sz w:val="48"/>
        </w:rPr>
        <w:t>Eight-Model Reproduction Run Guide</w:t>
      </w:r>
    </w:p>
    <w:p>
      <w:pPr>
        <w:spacing w:after="260"/>
      </w:pPr>
      <w:r>
        <w:rPr>
          <w:rFonts w:ascii="Calibri" w:hAnsi="Calibri"/>
          <w:color w:val="5F6B7A"/>
          <w:sz w:val="25"/>
        </w:rPr>
        <w:t>Universal workflow for author-mode evidence, controlled runs and team handoff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Prepared for: </w:t>
      </w:r>
      <w:r>
        <w:rPr>
          <w:rFonts w:ascii="Calibri" w:hAnsi="Calibri"/>
          <w:color w:val="0B2545"/>
          <w:sz w:val="20"/>
        </w:rPr>
        <w:t>COMP8851 project team and Dr Venus Haghighi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Updated: </w:t>
      </w:r>
      <w:r>
        <w:rPr>
          <w:rFonts w:ascii="Calibri" w:hAnsi="Calibri"/>
          <w:color w:val="0B2545"/>
          <w:sz w:val="20"/>
        </w:rPr>
        <w:t>8 September 2026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Status: </w:t>
      </w:r>
      <w:r>
        <w:rPr>
          <w:rFonts w:ascii="Calibri" w:hAnsi="Calibri"/>
          <w:color w:val="0B2545"/>
          <w:sz w:val="20"/>
        </w:rPr>
        <w:t>Operational guide v3 — team protocol v1 included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9"/>
              </w:rPr>
              <w:t xml:space="preserve">Core rule: </w:t>
            </w:r>
            <w:r>
              <w:rPr>
                <w:rFonts w:ascii="Calibri" w:hAnsi="Calibri"/>
                <w:color w:val="0B2545"/>
                <w:sz w:val="19"/>
              </w:rPr>
              <w:t>Every team member follows this same guide. Model-specific environments may differ; comparison-critical data, evaluator, hardware, seeds, timing and selection rules must not.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color w:val="0B2545"/>
        </w:rPr>
        <w:t xml:space="preserve">Team repository: </w:t>
      </w:r>
      <w:hyperlink r:id="rId11">
        <w:r>
          <w:rPr>
            <w:color w:val="0563C1"/>
            <w:u w:val="single"/>
            <w:sz w:val="20"/>
            <w:rFonts w:ascii="Calibri" w:hAnsi="Calibri"/>
          </w:rPr>
          <w:t>https://github.com/marufkhan09/COMP8851-fraud-dataset-analysis</w:t>
        </w:r>
      </w:hyperlink>
    </w:p>
    <w:p>
      <w:pPr>
        <w:pStyle w:val="Heading1"/>
      </w:pPr>
      <w:r>
        <w:t>1. Eight models in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100"/>
        <w:gridCol w:w="2750"/>
        <w:gridCol w:w="401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Model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Year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Primary mechanism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Official-repository dataset path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CARE-GNN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2020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Camouflage-resistant neighbour selection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FRAUDRE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2021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Graph inconsistency + imbalance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PC-GNN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2021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Class-balanced sampling + neighbour selection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BWGNN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2022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Beta-wavelet spectral filters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T-Finance; T-Social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GHRN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2023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Spectral heterophily reduction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T-Finance; T-Social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SplitGNN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2023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Heterophilic/homophilic spectral channels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FDCompCN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PMP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2024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Partitioned message passing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T-Finance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DGA-GNN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2024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Dynamic grouping and hierarchical aggregation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T-Finance; T-Social; Elliptic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F6B7A"/>
          <w:sz w:val="17"/>
        </w:rPr>
        <w:t>GADBench and BOND are benchmark-design references. TROPICAL is the heterophily-method reference. None is an additional model in this roster.</w:t>
      </w:r>
    </w:p>
    <w:p>
      <w:r>
        <w:br w:type="page"/>
      </w:r>
    </w:p>
    <w:p>
      <w:pPr>
        <w:pStyle w:val="Heading1"/>
      </w:pPr>
      <w:r>
        <w:t>2. Before touching code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Open the paper and official repository from the verified links register; record the repository commit immediately.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Read the paper’s datasets, split, feature version, run count, optimizer, epochs, early stopping, threshold and main reported metrics.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Read README, requirements/environment files, configuration files, entry point, data loader, training loop and evaluator.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Create a compatibility decision for the intended dataset: Native, Input adapter, Conditional or Not eligible.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Do not change the model’s core architecture to make an incompatible dataset fit.</w:t>
      </w:r>
    </w:p>
    <w:p>
      <w:pPr>
        <w:pStyle w:val="Heading1"/>
      </w:pPr>
      <w:r>
        <w:t>3. Work outside the central repository</w:t>
      </w:r>
    </w:p>
    <w:p>
      <w:pPr>
        <w:spacing w:after="120"/>
      </w:pPr>
      <w:r>
        <w:rPr>
          <w:rFonts w:ascii="Calibri" w:hAnsi="Calibri"/>
          <w:i w:val="0"/>
        </w:rPr>
        <w:t>Clone the author repository into a separate working directory. In the COMP8851 repository, store only provenance, patches/adapters, configurations, instructions and results unless the upstream licence explicitly permits vendoring and the team agrees.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9"/>
              </w:rPr>
              <w:t xml:space="preserve">Repository safety: </w:t>
            </w:r>
            <w:r>
              <w:rPr>
                <w:rFonts w:ascii="Calibri" w:hAnsi="Calibri"/>
                <w:color w:val="0B2545"/>
                <w:sz w:val="19"/>
              </w:rPr>
              <w:t>Never copy an author repository into models/&lt;model&gt;/ with its nested .git directory. This causes confusing Git behaviour and loses clear provenance.</w:t>
            </w:r>
          </w:p>
        </w:tc>
      </w:tr>
    </w:tbl>
    <w:p>
      <w:pPr>
        <w:spacing w:after="0"/>
      </w:pPr>
    </w:p>
    <w:p>
      <w:pPr>
        <w:pStyle w:val="Heading1"/>
      </w:pPr>
      <w:r>
        <w:t>4. Required model folder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models/&lt;model&gt;/README.md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Paper, upstream URL, commit, owner, reviewer, supported datasets, commands and current status.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models/&lt;model&gt;/environment/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author_requirements.txt, actual_environment.txt and hardware.txt.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models/&lt;model&gt;/configs/author/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Unchanged or minimally translated author configurations.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models/&lt;model&gt;/configs/unified/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Team protocol v1 configurations: shared splits, seeds, optimizer, tuning budget, selection and threshold rules.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models/&lt;model&gt;/patches/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git diff patches and a change log with reasons.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models/&lt;model&gt;/scripts/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Thin launch, split-adapter and result-export scripts.</w:t>
            </w:r>
          </w:p>
        </w:tc>
      </w:tr>
    </w:tbl>
    <w:p>
      <w:r>
        <w:br w:type="page"/>
      </w:r>
    </w:p>
    <w:p>
      <w:pPr>
        <w:pStyle w:val="Heading1"/>
      </w:pPr>
      <w:r>
        <w:t>5. Two modes — never merge the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50"/>
        <w:gridCol w:w="3555"/>
        <w:gridCol w:w="3555"/>
      </w:tblGrid>
      <w:tr>
        <w:trPr>
          <w:cantSplit/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Dimension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Author mode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Unified mode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Purpose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Test whether supplied paper/code behaviour can be reproduced or validated.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Enable controlled comparisons across eligible methods.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Data/split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Paper or repository version and original split.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Frozen team dataset version and split IDs.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Optimizer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Author optimizer and schedule.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Adam (beta1 0.9, beta2 0.999, eps 1e-8); justified essential exceptions documented.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Threshold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Author rule, even when model-specific.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Validation Macro-F1 over 0.01–0.99; tie-break by fraud recall, then closeness to 0.5.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Seeds/runs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Author scheme where feasible; otherwise label the deviation.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Split seed 2; training seeds 2, 42 and 72 for eligible final runs.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Tuning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Author values or author search protocol.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Maximum 12 TR40 trials with train seed 2; select by validation AUPRC and freeze for lower ratios.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Result label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Exact/approximate reproduction, local validation or feasibility.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Controlled benchmark result.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Storage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results/author-reproduction/</w:t>
            </w:r>
          </w:p>
        </w:tc>
        <w:tc>
          <w:tcPr>
            <w:tcW w:type="dxa" w:w="35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results/unified/</w:t>
            </w:r>
          </w:p>
        </w:tc>
      </w:tr>
    </w:tbl>
    <w:p>
      <w:pPr>
        <w:pStyle w:val="Heading1"/>
      </w:pPr>
      <w:r>
        <w:t>6. Reproduction classification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Label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Use only when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Exact reproduction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Author data/features, split, environment-compatible implementation, run count and selection/reporting rules are matched.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Approximate reproduction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The author procedure is followed but one or more declared implementation/environment/data details differ.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Local author-code validation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The code completes locally and produces plausible outputs, but paper-level comparability is not established.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Feasibility only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 smoke test or partial run confirms executability; do not use its metric as performance evidence.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Failed attempt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The run fails or is incompatible; retain logs, environment and the reason instead of deleting the record.</w:t>
            </w:r>
          </w:p>
        </w:tc>
      </w:tr>
    </w:tbl>
    <w:p>
      <w:pPr>
        <w:pStyle w:val="Heading1"/>
      </w:pPr>
      <w:r>
        <w:t>7. Environment audit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Record requested and installed Python/package versions separately; a successfully installed modern replacement is a deviation, not proof of the author environment.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Record operating system, CPU, CUDA, GPU model, visible device count and VRAM.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For controlled runs, set CUDA_VISIBLE_DEVICES=0 and verify torch.cuda.get_device_name(0). If the notebook does not provide the locked T4, stop comparable timing runs.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Use isolated environments per model. Do not force legacy PC-GNN dependencies and newer DGL/PyTorch models into one environment.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Save the upstream commit, the local patch hash and the dataset checksum in every run manifest.</w:t>
      </w:r>
    </w:p>
    <w:p>
      <w:pPr>
        <w:pStyle w:val="Heading1"/>
      </w:pPr>
      <w:r>
        <w:t>8. Smoke test</w:t>
      </w:r>
    </w:p>
    <w:p>
      <w:pPr>
        <w:spacing w:after="120"/>
      </w:pPr>
      <w:r>
        <w:rPr>
          <w:rFonts w:ascii="Calibri" w:hAnsi="Calibri"/>
          <w:i w:val="0"/>
        </w:rPr>
        <w:t>Run one or two epochs on the smallest author-supported path. The smoke test must exercise loading, forward pass, backward pass, validation, checkpointing and structured result writing.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PASS means the full smoke path completed and required artefacts exist.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CONDITIONAL means it completed only after a documented adapter or safe compatibility change.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FAIL means the failure is reproducible and logged; it is still a useful feasibility result.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Never present a smoke-test AUROC/F1 as the model’s benchmark performance.</w:t>
      </w:r>
    </w:p>
    <w:p>
      <w:r>
        <w:br w:type="page"/>
      </w:r>
    </w:p>
    <w:p>
      <w:pPr>
        <w:pStyle w:val="Heading1"/>
      </w:pPr>
      <w:r>
        <w:t>9. Correct per-epoch timing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9"/>
              </w:rPr>
              <w:t xml:space="preserve">Required: </w:t>
            </w:r>
            <w:r>
              <w:rPr>
                <w:rFonts w:ascii="Calibri" w:hAnsi="Calibri"/>
                <w:color w:val="0B2545"/>
                <w:sz w:val="19"/>
              </w:rPr>
              <w:t>Venus explicitly requested the time for each epoch and the average epoch time. Save the raw epoch-by-epoch record for every training run.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i w:val="0"/>
        </w:rPr>
        <w:t>For a GPU training epoch, synchronize immediately before starting and immediately after the final optimizer update. Time validation separately so model owners do not silently include different evaluation schedules in training time.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color w:val="0B2545"/>
          <w:sz w:val="18"/>
        </w:rPr>
        <w:t>torch.cuda.synchronize()</w:t>
        <w:br/>
        <w:t>epoch_start = time.perf_counter()</w:t>
        <w:br/>
        <w:t>train_one_epoch(...)</w:t>
        <w:br/>
        <w:t>torch.cuda.synchronize()</w:t>
        <w:br/>
        <w:t>epoch_seconds = time.perf_counter() - epoch_start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1750"/>
        <w:gridCol w:w="1880"/>
        <w:gridCol w:w="1930"/>
        <w:gridCol w:w="21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epoch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train_seconds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validation_seconds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cumulative_seconds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required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optional/separate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required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warm-up / first-epoch note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F6B7A"/>
          <w:sz w:val="17"/>
        </w:rPr>
        <w:t>Also report total training wall-clock time, completed epochs, mean and standard deviation of epoch training time, inference time and peak GPU memory where feasible.</w:t>
      </w:r>
    </w:p>
    <w:p>
      <w:pPr>
        <w:pStyle w:val="Heading1"/>
      </w:pPr>
      <w:r>
        <w:t>10. Seed semantics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Seed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split_seed = 2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Creates/fixes dataset node IDs or chronological sampling inside the training period. It must not change across models.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train_seed = 2, 42, 72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Controls weight initialisation, dropout and sampling. Run all three values for each final eligible unified comparison.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legacy seed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Some author code uses one variable for both roles. Preserve it in author mode, but record that coupling and separate the roles in unified mode.</w:t>
            </w:r>
          </w:p>
        </w:tc>
      </w:tr>
    </w:tbl>
    <w:p>
      <w:pPr>
        <w:pStyle w:val="Heading1"/>
      </w:pPr>
      <w:r>
        <w:t>11. Selection, tuning and test isolation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Use Adam with beta1 0.9, beta2 0.999 and epsilon 1e-8. Tune learning rate and weight decay rather than forcing them to be identical.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For each eligible model–dataset pair, tune only on TR40 with train seed 2 and a maximum of 12 trials; use at most 100 epochs and validation-only early stopping with patience 20.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Select the configuration and best checkpoint by validation AUPRC, then freeze it for TR30, TR20 and TR10 and run the final three training seeds.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For threshold-dependent metrics, search validation thresholds 0.01–0.99 in 0.01 steps and maximise Macro-F1; tie-break by fraud recall and then closeness to 0.5. Apply the chosen threshold unchanged to test.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The standard tuning ranges are learning rate 1e-4–1e-2 (log scale), weight decay {0, 1e-5, 1e-4, 1e-3}, dropout {0.0, 0.3, 0.5}, and hidden dimension {32, 64, 128} where exposed by the paper/code.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Do not inspect test metrics to choose a model, epoch, hyperparameter or threshold.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If a method fundamentally requires a specialised optimisation procedure, document an exception rather than silently removing that procedure.</w:t>
      </w:r>
    </w:p>
    <w:p>
      <w:pPr>
        <w:pStyle w:val="Heading1"/>
      </w:pPr>
      <w:r>
        <w:t>12. Controlled ratios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1500"/>
        <w:gridCol w:w="1650"/>
        <w:gridCol w:w="1650"/>
        <w:gridCol w:w="32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Config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Train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Validation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Test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Nesting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TR40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 fixed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 fixed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Master training pool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TR30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30%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 fixed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 fixed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TR30 ⊂ TR40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 fixed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 fixed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TR20 ⊂ TR30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10%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 fixed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 fixed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TR10 ⊂ TR20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F6B7A"/>
          <w:sz w:val="17"/>
        </w:rPr>
        <w:t>Elliptic is the exception to random static splitting: preserve time order and vary only labelled training availability inside the earlier training region.</w:t>
      </w:r>
    </w:p>
    <w:p>
      <w:r>
        <w:br w:type="page"/>
      </w:r>
    </w:p>
    <w:p>
      <w:pPr>
        <w:pStyle w:val="Heading1"/>
      </w:pPr>
      <w:r>
        <w:t>13. Model-specific starting notes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450"/>
        <w:gridCol w:w="3210"/>
        <w:gridCol w:w="2450"/>
        <w:gridCol w:w="225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Model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Start from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First risk to inspect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First suitable smoke path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CARE-GNN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Official CARE-GNN repository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Legacy dependencies; RL neighbour selector; multi-relation preprocessing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 or Amazon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FRAUDRE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Official FRAUDRE repository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Data archives and three inconsistency components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 or Amazon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PC-GNN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Supplied clean snapshot + official repo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100-D paper features vs 32-D local file; old dependency pins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BWGNN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Official Rethinking-Anomaly-Detection repo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DGL/PyTorch pairing; homo vs hetero path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T-Finance or YelpChi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GHRN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Official GHRN repository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Sparse/spectral operations and dataset conversion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T-Finance or YelpChi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SplitGNN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Official SplitGNN repository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FDCompCN preprocessing and newer DGL stack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FDCompCN or YelpChi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PMP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Official PMP repository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Checkpoint/data path and relation handling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YelpChi, Amazon or T-Finance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DGA-GNN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Official DGA-GNN repository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Dataset-specific binning and temporal Elliptic handling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T-Finance or YelpChi</w:t>
            </w:r>
          </w:p>
        </w:tc>
      </w:tr>
    </w:tbl>
    <w:p>
      <w:pPr>
        <w:pStyle w:val="Heading1"/>
      </w:pPr>
      <w:r>
        <w:t>14. PC-GNN current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Current evidence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Upstream identity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PonderLY/PC-GNN snapshot; commit 9d7d7fae491081178b6e12e193fb89cfc330f2be.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Full local run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Completed 51 epochs on 32-D YelpChi using macOS arm64 CPU; test AUROC 0.8178, Macro-F1 0.6530, G-Mean 0.7408.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Instrumented smoke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Completed 2 epochs with structured run artefacts and per-epoch timing; average 1.828146 s per training epoch on CPU.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Classification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Local author-code validation / approximate reproduction attempt. Not exact paper reproduction because features, environment and run protocol differ.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Do not compare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Do not compare the CPU timing with future T4 timings; do not compare the smoke metric with full-run results.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Next gate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Kaggle T4 smoke test with hardware manifest, then faithful author-mode run; unified mode uses team protocol v1 after split/evaluator assets are committed.</w:t>
            </w:r>
          </w:p>
        </w:tc>
      </w:tr>
    </w:tbl>
    <w:p>
      <w:pPr>
        <w:pStyle w:val="Heading1"/>
      </w:pPr>
      <w:r>
        <w:t>15. Required result bundle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50"/>
        <w:gridCol w:w="6710"/>
      </w:tblGrid>
      <w:tr>
        <w:trPr>
          <w:cantSplit/>
          <w:tblHeader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File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fields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run_manifest.json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Run ID, mode, model, dataset, ratio, split seed, training seed, commit, dataset/split checksum and hardware.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config.yaml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All effective values after defaults and CLI overrides.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environment.txt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OS, Python, packages, CUDA, GPU and VRAM.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epoch_times.csv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One row per epoch with training time; validation time separate where recorded.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metrics.json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AUROC, AUPRC/AP, Macro-F1, fraud F1, G-Mean, fraud precision/recall and threshold.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stdout.log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Complete terminal output, including warnings and errors.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changes.patch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Exact upstream changes; empty/explicit if none.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status.md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PASS/CONDITIONAL/FAIL, reproduction class, deviations, limitation and interpretation.</w:t>
            </w:r>
          </w:p>
        </w:tc>
      </w:tr>
    </w:tbl>
    <w:p>
      <w:pPr>
        <w:pStyle w:val="Heading1"/>
      </w:pPr>
      <w:r>
        <w:t>16. Team handoff and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2800"/>
        <w:gridCol w:w="2800"/>
        <w:gridCol w:w="20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Member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Primary model 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Primary model 2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Review requirement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Maruf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PC-GNN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DGA-GNN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Independent reviewer required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Pathik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BWGNN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PMP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Independent reviewer required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Akib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CARE-GNN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GHRN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Independent reviewer required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Ishraq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FRAUDRE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SplitGNN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Independent reviewer required</w:t>
            </w:r>
          </w:p>
        </w:tc>
      </w:tr>
    </w:tbl>
    <w:p>
      <w:pPr>
        <w:numPr>
          <w:ilvl w:val="0"/>
          <w:numId w:val="10"/>
        </w:numPr>
      </w:pPr>
      <w:r>
        <w:rPr>
          <w:rFonts w:ascii="Calibri" w:hAnsi="Calibri"/>
        </w:rPr>
        <w:t>The allocation above is the team protocol recommendation; Venus required eight models and shared work but did not personally assign these pairs.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Each member reviews at least one model owned by another member; record reviewer names before merging evidence.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Use a model-specific branch and pull request. Do not push unreviewed results directly to main.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The reviewer checks source identity, environment, split checksum, test isolation, epoch-time CSV, metrics and reproduction label.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Merge well-documented failures so work is not repeated. A result enters the common comparison table only after passing the dataset, compatibility, environment, timing and review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A"/>
        <w:sz w:val="18"/>
      </w:rPr>
      <w:t xml:space="preserve">COMP8851 | Page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A"/>
        <w:sz w:val="17"/>
      </w:rPr>
      <w:t>COMP8851 | Eight-model reproduction run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59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arufkhan09/COMP8851-fraud-dataset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