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COMP8851 Master Execution Plan</w:t>
      </w:r>
    </w:p>
    <w:p>
      <w:pPr>
        <w:pStyle w:val="Subtitle"/>
      </w:pPr>
      <w:r>
        <w:t>Supervisor-aligned dataset verification, eight-model reproduction and controlled benchmarking plan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7F4EA" w:val="clear"/>
          </w:tcPr>
          <w:p>
            <w:pPr>
              <w:spacing w:after="0"/>
            </w:pPr>
            <w:r>
              <w:rPr>
                <w:rFonts w:ascii="Calibri" w:hAnsi="Calibri"/>
                <w:b/>
                <w:color w:val="1F4D78"/>
                <w:sz w:val="21"/>
              </w:rPr>
              <w:t xml:space="preserve">Current decision: </w:t>
            </w:r>
            <w:r>
              <w:rPr>
                <w:rFonts w:ascii="Calibri" w:hAnsi="Calibri"/>
                <w:color w:val="0B2545"/>
                <w:sz w:val="21"/>
              </w:rPr>
              <w:t>Use six datasets and eight fraud-specific or fraud-adapted GNNs. Reproduce each author implementation first, then run dataset-specific controlled comparisons. GADBench and BOND guide benchmark design; TROPICAL defines the project heterophily convention.</w:t>
            </w:r>
          </w:p>
        </w:tc>
      </w:tr>
    </w:tbl>
    <w:p>
      <w:pPr>
        <w:spacing w:after="0"/>
      </w:pPr>
    </w:p>
    <w:p>
      <w:pPr>
        <w:pStyle w:val="Heading1"/>
      </w:pPr>
      <w:r>
        <w:t>1. What changed after reviewing the supplied files</w:t>
      </w:r>
    </w:p>
    <w:tbl>
      <w:tblPr>
        <w:tblStyle w:val="TableGrid"/>
        <w:tblW w:type="dxa" w:w="9360"/>
        <w:jc w:val="left"/>
        <w:tblLayout w:type="fixed"/>
        <w:tblLook w:firstColumn="1" w:firstRow="1" w:lastColumn="0" w:lastRow="0" w:noHBand="0" w:noVBand="1" w:val="04A0"/>
        <w:tblInd w:w="120" w:type="dxa"/>
      </w:tblPr>
      <w:tblGrid>
        <w:gridCol w:w="2150"/>
        <w:gridCol w:w="3600"/>
        <w:gridCol w:w="3610"/>
      </w:tblGrid>
      <w:tr>
        <w:trPr>
          <w:tblHeader w:val="true"/>
          <w:cantSplit/>
        </w:trPr>
        <w:tc>
          <w:tcPr>
            <w:tcW w:type="dxa" w:w="2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File</w:t>
            </w:r>
          </w:p>
        </w:tc>
        <w:tc>
          <w:tcPr>
            <w:tcW w:type="dxa" w:w="36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Decision after review</w:t>
            </w:r>
          </w:p>
        </w:tc>
        <w:tc>
          <w:tcPr>
            <w:tcW w:type="dxa" w:w="361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Action taken</w:t>
            </w:r>
          </w:p>
        </w:tc>
      </w:tr>
      <w:tr>
        <w:trPr>
          <w:cantSplit/>
        </w:trPr>
        <w:tc>
          <w:tcPr>
            <w:tcW w:type="dxa" w:w="2150"/>
          </w:tcPr>
          <w:p>
            <w:pPr>
              <w:spacing w:before="0" w:after="0" w:line="259" w:lineRule="auto"/>
              <w:jc w:val="center"/>
            </w:pPr>
            <w:r/>
            <w:r>
              <w:rPr>
                <w:rFonts w:ascii="Calibri" w:hAnsi="Calibri"/>
                <w:b w:val="0"/>
                <w:color w:val="0B2545"/>
                <w:sz w:val="17"/>
              </w:rPr>
              <w:t>Master Pack response</w:t>
            </w:r>
          </w:p>
        </w:tc>
        <w:tc>
          <w:tcPr>
            <w:tcW w:type="dxa" w:w="3600"/>
          </w:tcPr>
          <w:p>
            <w:pPr>
              <w:spacing w:before="0" w:after="0" w:line="259" w:lineRule="auto"/>
              <w:jc w:val="left"/>
            </w:pPr>
            <w:r/>
            <w:r>
              <w:rPr>
                <w:rFonts w:ascii="Calibri" w:hAnsi="Calibri"/>
                <w:b w:val="0"/>
                <w:color w:val="0B2545"/>
                <w:sz w:val="17"/>
              </w:rPr>
              <w:t>Outdated: guessed GHRN as the screen-shared paper and used RioGNN/GAT-COBO.</w:t>
            </w:r>
          </w:p>
        </w:tc>
        <w:tc>
          <w:tcPr>
            <w:tcW w:type="dxa" w:w="3610"/>
          </w:tcPr>
          <w:p>
            <w:pPr>
              <w:spacing w:before="0" w:after="0" w:line="259" w:lineRule="auto"/>
              <w:jc w:val="left"/>
            </w:pPr>
            <w:r/>
            <w:r>
              <w:rPr>
                <w:rFonts w:ascii="Calibri" w:hAnsi="Calibri"/>
                <w:b w:val="0"/>
                <w:color w:val="0B2545"/>
                <w:sz w:val="17"/>
              </w:rPr>
              <w:t>Replaced with this master plan and the corrected eight-model roster.</w:t>
            </w:r>
          </w:p>
        </w:tc>
      </w:tr>
      <w:tr>
        <w:trPr>
          <w:cantSplit/>
        </w:trPr>
        <w:tc>
          <w:tcPr>
            <w:tcW w:type="dxa" w:w="2150"/>
            <w:shd w:fill="F2F4F7" w:val="clear"/>
          </w:tcPr>
          <w:p>
            <w:pPr>
              <w:spacing w:before="0" w:after="0" w:line="259" w:lineRule="auto"/>
              <w:jc w:val="center"/>
            </w:pPr>
            <w:r/>
            <w:r>
              <w:rPr>
                <w:rFonts w:ascii="Calibri" w:hAnsi="Calibri"/>
                <w:b w:val="0"/>
                <w:color w:val="0B2545"/>
                <w:sz w:val="17"/>
              </w:rPr>
              <w:t>GitHub Reproduction Run Guide</w:t>
            </w:r>
          </w:p>
        </w:tc>
        <w:tc>
          <w:tcPr>
            <w:tcW w:type="dxa" w:w="3600"/>
            <w:shd w:fill="F2F4F7" w:val="clear"/>
          </w:tcPr>
          <w:p>
            <w:pPr>
              <w:spacing w:before="0" w:after="0" w:line="259" w:lineRule="auto"/>
              <w:jc w:val="left"/>
            </w:pPr>
            <w:r/>
            <w:r>
              <w:rPr>
                <w:rFonts w:ascii="Calibri" w:hAnsi="Calibri"/>
                <w:b w:val="0"/>
                <w:color w:val="0B2545"/>
                <w:sz w:val="17"/>
              </w:rPr>
              <w:t>Useful structure, but it mixed core, reserve and benchmark-framework rows.</w:t>
            </w:r>
          </w:p>
        </w:tc>
        <w:tc>
          <w:tcPr>
            <w:tcW w:type="dxa" w:w="3610"/>
            <w:shd w:fill="F2F4F7" w:val="clear"/>
          </w:tcPr>
          <w:p>
            <w:pPr>
              <w:spacing w:before="0" w:after="0" w:line="259" w:lineRule="auto"/>
              <w:jc w:val="left"/>
            </w:pPr>
            <w:r/>
            <w:r>
              <w:rPr>
                <w:rFonts w:ascii="Calibri" w:hAnsi="Calibri"/>
                <w:b w:val="0"/>
                <w:color w:val="0B2545"/>
                <w:sz w:val="17"/>
              </w:rPr>
              <w:t>Rebuilt for the eight selected detectors; GADBench/BOND moved to methodology.</w:t>
            </w:r>
          </w:p>
        </w:tc>
      </w:tr>
      <w:tr>
        <w:trPr>
          <w:cantSplit/>
        </w:trPr>
        <w:tc>
          <w:tcPr>
            <w:tcW w:type="dxa" w:w="2150"/>
          </w:tcPr>
          <w:p>
            <w:pPr>
              <w:spacing w:before="0" w:after="0" w:line="259" w:lineRule="auto"/>
              <w:jc w:val="center"/>
            </w:pPr>
            <w:r/>
            <w:r>
              <w:rPr>
                <w:rFonts w:ascii="Calibri" w:hAnsi="Calibri"/>
                <w:b w:val="0"/>
                <w:color w:val="0B2545"/>
                <w:sz w:val="17"/>
              </w:rPr>
              <w:t>Verified Paper/Code Links</w:t>
            </w:r>
          </w:p>
        </w:tc>
        <w:tc>
          <w:tcPr>
            <w:tcW w:type="dxa" w:w="3600"/>
          </w:tcPr>
          <w:p>
            <w:pPr>
              <w:spacing w:before="0" w:after="0" w:line="259" w:lineRule="auto"/>
              <w:jc w:val="left"/>
            </w:pPr>
            <w:r/>
            <w:r>
              <w:rPr>
                <w:rFonts w:ascii="Calibri" w:hAnsi="Calibri"/>
                <w:b w:val="0"/>
                <w:color w:val="0B2545"/>
                <w:sz w:val="17"/>
              </w:rPr>
              <w:t>Useful links, but its tiers were tied to an older proposal and excluded CARE-GNN.</w:t>
            </w:r>
          </w:p>
        </w:tc>
        <w:tc>
          <w:tcPr>
            <w:tcW w:type="dxa" w:w="3610"/>
          </w:tcPr>
          <w:p>
            <w:pPr>
              <w:spacing w:before="0" w:after="0" w:line="259" w:lineRule="auto"/>
              <w:jc w:val="left"/>
            </w:pPr>
            <w:r/>
            <w:r>
              <w:rPr>
                <w:rFonts w:ascii="Calibri" w:hAnsi="Calibri"/>
                <w:b w:val="0"/>
                <w:color w:val="0B2545"/>
                <w:sz w:val="17"/>
              </w:rPr>
              <w:t>Rebuilt around the current roster and methodological references.</w:t>
            </w:r>
          </w:p>
        </w:tc>
      </w:tr>
      <w:tr>
        <w:trPr>
          <w:cantSplit/>
        </w:trPr>
        <w:tc>
          <w:tcPr>
            <w:tcW w:type="dxa" w:w="2150"/>
            <w:shd w:fill="F2F4F7" w:val="clear"/>
          </w:tcPr>
          <w:p>
            <w:pPr>
              <w:spacing w:before="0" w:after="0" w:line="259" w:lineRule="auto"/>
              <w:jc w:val="center"/>
            </w:pPr>
            <w:r/>
            <w:r>
              <w:rPr>
                <w:rFonts w:ascii="Calibri" w:hAnsi="Calibri"/>
                <w:b w:val="0"/>
                <w:color w:val="0B2545"/>
                <w:sz w:val="17"/>
              </w:rPr>
              <w:t>2020-26 literature PDF</w:t>
            </w:r>
          </w:p>
        </w:tc>
        <w:tc>
          <w:tcPr>
            <w:tcW w:type="dxa" w:w="3600"/>
            <w:shd w:fill="F2F4F7" w:val="clear"/>
          </w:tcPr>
          <w:p>
            <w:pPr>
              <w:spacing w:before="0" w:after="0" w:line="259" w:lineRule="auto"/>
              <w:jc w:val="left"/>
            </w:pPr>
            <w:r/>
            <w:r>
              <w:rPr>
                <w:rFonts w:ascii="Calibri" w:hAnsi="Calibri"/>
                <w:b w:val="0"/>
                <w:color w:val="0B2545"/>
                <w:sz w:val="17"/>
              </w:rPr>
              <w:t>Valuable literature inventory, but not the exact supervisor list and some experiment suggestions conflict with the current scope.</w:t>
            </w:r>
          </w:p>
        </w:tc>
        <w:tc>
          <w:tcPr>
            <w:tcW w:type="dxa" w:w="3610"/>
            <w:shd w:fill="F2F4F7" w:val="clear"/>
          </w:tcPr>
          <w:p>
            <w:pPr>
              <w:spacing w:before="0" w:after="0" w:line="259" w:lineRule="auto"/>
              <w:jc w:val="left"/>
            </w:pPr>
            <w:r/>
            <w:r>
              <w:rPr>
                <w:rFonts w:ascii="Calibri" w:hAnsi="Calibri"/>
                <w:b w:val="0"/>
                <w:color w:val="0B2545"/>
                <w:sz w:val="17"/>
              </w:rPr>
              <w:t>Retained as a reference with a reviewed cover note stating which recommendations are superseded.</w:t>
            </w:r>
          </w:p>
        </w:tc>
      </w:tr>
      <w:tr>
        <w:trPr>
          <w:cantSplit/>
        </w:trPr>
        <w:tc>
          <w:tcPr>
            <w:tcW w:type="dxa" w:w="2150"/>
          </w:tcPr>
          <w:p>
            <w:pPr>
              <w:spacing w:before="0" w:after="0" w:line="259" w:lineRule="auto"/>
              <w:jc w:val="center"/>
            </w:pPr>
            <w:r/>
            <w:r>
              <w:rPr>
                <w:rFonts w:ascii="Calibri" w:hAnsi="Calibri"/>
                <w:b w:val="0"/>
                <w:color w:val="0B2545"/>
                <w:sz w:val="17"/>
              </w:rPr>
              <w:t>Pasted markdown</w:t>
            </w:r>
          </w:p>
        </w:tc>
        <w:tc>
          <w:tcPr>
            <w:tcW w:type="dxa" w:w="3600"/>
          </w:tcPr>
          <w:p>
            <w:pPr>
              <w:spacing w:before="0" w:after="0" w:line="259" w:lineRule="auto"/>
              <w:jc w:val="left"/>
            </w:pPr>
            <w:r/>
            <w:r>
              <w:rPr>
                <w:rFonts w:ascii="Calibri" w:hAnsi="Calibri"/>
                <w:b w:val="0"/>
                <w:color w:val="0B2545"/>
                <w:sz w:val="17"/>
              </w:rPr>
              <w:t>Historical notes: seven datasets, IEEE-CIS-G, and an unresolved split question.</w:t>
            </w:r>
          </w:p>
        </w:tc>
        <w:tc>
          <w:tcPr>
            <w:tcW w:type="dxa" w:w="3610"/>
          </w:tcPr>
          <w:p>
            <w:pPr>
              <w:spacing w:before="0" w:after="0" w:line="259" w:lineRule="auto"/>
              <w:jc w:val="left"/>
            </w:pPr>
            <w:r/>
            <w:r>
              <w:rPr>
                <w:rFonts w:ascii="Calibri" w:hAnsi="Calibri"/>
                <w:b w:val="0"/>
                <w:color w:val="0B2545"/>
                <w:sz w:val="17"/>
              </w:rPr>
              <w:t>Treat as superseded by the latest meeting: six datasets and fixed 40/20/40-to-10/20/40 design.</w:t>
            </w:r>
          </w:p>
        </w:tc>
      </w:tr>
    </w:tbl>
    <w:p>
      <w:pPr>
        <w:spacing w:after="0"/>
      </w:pPr>
    </w:p>
    <w:p>
      <w:pPr>
        <w:pStyle w:val="Heading1"/>
      </w:pPr>
      <w:r>
        <w:t>2. Locked scope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Area</w:t>
            </w:r>
          </w:p>
        </w:tc>
        <w:tc>
          <w:tcPr>
            <w:tcW w:type="dxa" w:w="716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Locked decision</w:t>
            </w:r>
          </w:p>
        </w:tc>
      </w:tr>
      <w:tr>
        <w:trPr>
          <w:cantSplit/>
        </w:trPr>
        <w:tc>
          <w:tcPr>
            <w:tcW w:type="dxa" w:w="2200"/>
          </w:tcPr>
          <w:p>
            <w:pPr>
              <w:spacing w:before="0" w:after="0" w:line="259" w:lineRule="auto"/>
              <w:jc w:val="left"/>
            </w:pPr>
            <w:r/>
            <w:r>
              <w:rPr>
                <w:rFonts w:ascii="Calibri" w:hAnsi="Calibri"/>
                <w:b w:val="0"/>
                <w:color w:val="0B2545"/>
                <w:sz w:val="18"/>
              </w:rPr>
              <w:t>Datasets</w:t>
            </w:r>
          </w:p>
        </w:tc>
        <w:tc>
          <w:tcPr>
            <w:tcW w:type="dxa" w:w="7160"/>
          </w:tcPr>
          <w:p>
            <w:pPr>
              <w:spacing w:before="0" w:after="0" w:line="259" w:lineRule="auto"/>
              <w:jc w:val="left"/>
            </w:pPr>
            <w:r/>
            <w:r>
              <w:rPr>
                <w:rFonts w:ascii="Calibri" w:hAnsi="Calibri"/>
                <w:b w:val="0"/>
                <w:color w:val="0B2545"/>
                <w:sz w:val="18"/>
              </w:rPr>
              <w:t>YelpChi, Amazon, T-Finance, T-Social, Elliptic and FDCompCN.</w:t>
            </w:r>
          </w:p>
        </w:tc>
      </w:tr>
      <w:tr>
        <w:trPr>
          <w:cantSplit/>
        </w:trPr>
        <w:tc>
          <w:tcPr>
            <w:tcW w:type="dxa" w:w="2200"/>
            <w:shd w:fill="F2F4F7" w:val="clear"/>
          </w:tcPr>
          <w:p>
            <w:pPr>
              <w:spacing w:before="0" w:after="0" w:line="259" w:lineRule="auto"/>
              <w:jc w:val="left"/>
            </w:pPr>
            <w:r/>
            <w:r>
              <w:rPr>
                <w:rFonts w:ascii="Calibri" w:hAnsi="Calibri"/>
                <w:b w:val="0"/>
                <w:color w:val="0B2545"/>
                <w:sz w:val="18"/>
              </w:rPr>
              <w:t>Excluded for current phase</w:t>
            </w:r>
          </w:p>
        </w:tc>
        <w:tc>
          <w:tcPr>
            <w:tcW w:type="dxa" w:w="7160"/>
            <w:shd w:fill="F2F4F7" w:val="clear"/>
          </w:tcPr>
          <w:p>
            <w:pPr>
              <w:spacing w:before="0" w:after="0" w:line="259" w:lineRule="auto"/>
              <w:jc w:val="left"/>
            </w:pPr>
            <w:r/>
            <w:r>
              <w:rPr>
                <w:rFonts w:ascii="Calibri" w:hAnsi="Calibri"/>
                <w:b w:val="0"/>
                <w:color w:val="0B2545"/>
                <w:sz w:val="18"/>
              </w:rPr>
              <w:t>IEEE-CIS-G and DGraph-Fin. Keep their earlier investigation material separately; do not include them in the six-dataset benchmark tables.</w:t>
            </w:r>
          </w:p>
        </w:tc>
      </w:tr>
      <w:tr>
        <w:trPr>
          <w:cantSplit/>
        </w:trPr>
        <w:tc>
          <w:tcPr>
            <w:tcW w:type="dxa" w:w="2200"/>
          </w:tcPr>
          <w:p>
            <w:pPr>
              <w:spacing w:before="0" w:after="0" w:line="259" w:lineRule="auto"/>
              <w:jc w:val="left"/>
            </w:pPr>
            <w:r/>
            <w:r>
              <w:rPr>
                <w:rFonts w:ascii="Calibri" w:hAnsi="Calibri"/>
                <w:b w:val="0"/>
                <w:color w:val="0B2545"/>
                <w:sz w:val="18"/>
              </w:rPr>
              <w:t>Model count</w:t>
            </w:r>
          </w:p>
        </w:tc>
        <w:tc>
          <w:tcPr>
            <w:tcW w:type="dxa" w:w="7160"/>
          </w:tcPr>
          <w:p>
            <w:pPr>
              <w:spacing w:before="0" w:after="0" w:line="259" w:lineRule="auto"/>
              <w:jc w:val="left"/>
            </w:pPr>
            <w:r/>
            <w:r>
              <w:rPr>
                <w:rFonts w:ascii="Calibri" w:hAnsi="Calibri"/>
                <w:b w:val="0"/>
                <w:color w:val="0B2545"/>
                <w:sz w:val="18"/>
              </w:rPr>
              <w:t>Eight detectors, approximately two per member.</w:t>
            </w:r>
          </w:p>
        </w:tc>
      </w:tr>
      <w:tr>
        <w:trPr>
          <w:cantSplit/>
        </w:trPr>
        <w:tc>
          <w:tcPr>
            <w:tcW w:type="dxa" w:w="2200"/>
            <w:shd w:fill="F2F4F7" w:val="clear"/>
          </w:tcPr>
          <w:p>
            <w:pPr>
              <w:spacing w:before="0" w:after="0" w:line="259" w:lineRule="auto"/>
              <w:jc w:val="left"/>
            </w:pPr>
            <w:r/>
            <w:r>
              <w:rPr>
                <w:rFonts w:ascii="Calibri" w:hAnsi="Calibri"/>
                <w:b w:val="0"/>
                <w:color w:val="0B2545"/>
                <w:sz w:val="18"/>
              </w:rPr>
              <w:t>Learning setting</w:t>
            </w:r>
          </w:p>
        </w:tc>
        <w:tc>
          <w:tcPr>
            <w:tcW w:type="dxa" w:w="7160"/>
            <w:shd w:fill="F2F4F7" w:val="clear"/>
          </w:tcPr>
          <w:p>
            <w:pPr>
              <w:spacing w:before="0" w:after="0" w:line="259" w:lineRule="auto"/>
              <w:jc w:val="left"/>
            </w:pPr>
            <w:r/>
            <w:r>
              <w:rPr>
                <w:rFonts w:ascii="Calibri" w:hAnsi="Calibri"/>
                <w:b w:val="0"/>
                <w:color w:val="0B2545"/>
                <w:sz w:val="18"/>
              </w:rPr>
              <w:t>Supervised/semi-supervised fraud-node detection on the selected graphs. General GNNs and non-graph methods remain background only.</w:t>
            </w:r>
          </w:p>
        </w:tc>
      </w:tr>
      <w:tr>
        <w:trPr>
          <w:cantSplit/>
        </w:trPr>
        <w:tc>
          <w:tcPr>
            <w:tcW w:type="dxa" w:w="2200"/>
          </w:tcPr>
          <w:p>
            <w:pPr>
              <w:spacing w:before="0" w:after="0" w:line="259" w:lineRule="auto"/>
              <w:jc w:val="left"/>
            </w:pPr>
            <w:r/>
            <w:r>
              <w:rPr>
                <w:rFonts w:ascii="Calibri" w:hAnsi="Calibri"/>
                <w:b w:val="0"/>
                <w:color w:val="0B2545"/>
                <w:sz w:val="18"/>
              </w:rPr>
              <w:t>Two experiment phases</w:t>
            </w:r>
          </w:p>
        </w:tc>
        <w:tc>
          <w:tcPr>
            <w:tcW w:type="dxa" w:w="7160"/>
          </w:tcPr>
          <w:p>
            <w:pPr>
              <w:spacing w:before="0" w:after="0" w:line="259" w:lineRule="auto"/>
              <w:jc w:val="left"/>
            </w:pPr>
            <w:r/>
            <w:r>
              <w:rPr>
                <w:rFonts w:ascii="Calibri" w:hAnsi="Calibri"/>
                <w:b w:val="0"/>
                <w:color w:val="0B2545"/>
                <w:sz w:val="18"/>
              </w:rPr>
              <w:t>Author reproduction first; unified controlled benchmark second. Never mix the two result types.</w:t>
            </w:r>
          </w:p>
        </w:tc>
      </w:tr>
      <w:tr>
        <w:trPr>
          <w:cantSplit/>
        </w:trPr>
        <w:tc>
          <w:tcPr>
            <w:tcW w:type="dxa" w:w="2200"/>
            <w:shd w:fill="F2F4F7" w:val="clear"/>
          </w:tcPr>
          <w:p>
            <w:pPr>
              <w:spacing w:before="0" w:after="0" w:line="259" w:lineRule="auto"/>
              <w:jc w:val="left"/>
            </w:pPr>
            <w:r/>
            <w:r>
              <w:rPr>
                <w:rFonts w:ascii="Calibri" w:hAnsi="Calibri"/>
                <w:b w:val="0"/>
                <w:color w:val="0B2545"/>
                <w:sz w:val="18"/>
              </w:rPr>
              <w:t>Hardware</w:t>
            </w:r>
          </w:p>
        </w:tc>
        <w:tc>
          <w:tcPr>
            <w:tcW w:type="dxa" w:w="7160"/>
            <w:shd w:fill="F2F4F7" w:val="clear"/>
          </w:tcPr>
          <w:p>
            <w:pPr>
              <w:spacing w:before="0" w:after="0" w:line="259" w:lineRule="auto"/>
              <w:jc w:val="left"/>
            </w:pPr>
            <w:r/>
            <w:r>
              <w:rPr>
                <w:rFonts w:ascii="Calibri" w:hAnsi="Calibri"/>
                <w:b w:val="0"/>
                <w:color w:val="0B2545"/>
                <w:sz w:val="18"/>
              </w:rPr>
              <w:t>Kaggle NVIDIA T4, GPU 0 only for controlled timing. Record the device actually reported by the notebook.</w:t>
            </w:r>
          </w:p>
        </w:tc>
      </w:tr>
      <w:tr>
        <w:trPr>
          <w:cantSplit/>
        </w:trPr>
        <w:tc>
          <w:tcPr>
            <w:tcW w:type="dxa" w:w="2200"/>
          </w:tcPr>
          <w:p>
            <w:pPr>
              <w:spacing w:before="0" w:after="0" w:line="259" w:lineRule="auto"/>
              <w:jc w:val="left"/>
            </w:pPr>
            <w:r/>
            <w:r>
              <w:rPr>
                <w:rFonts w:ascii="Calibri" w:hAnsi="Calibri"/>
                <w:b w:val="0"/>
                <w:color w:val="0B2545"/>
                <w:sz w:val="18"/>
              </w:rPr>
              <w:t>Software</w:t>
            </w:r>
          </w:p>
        </w:tc>
        <w:tc>
          <w:tcPr>
            <w:tcW w:type="dxa" w:w="7160"/>
          </w:tcPr>
          <w:p>
            <w:pPr>
              <w:spacing w:before="0" w:after="0" w:line="259" w:lineRule="auto"/>
              <w:jc w:val="left"/>
            </w:pPr>
            <w:r/>
            <w:r>
              <w:rPr>
                <w:rFonts w:ascii="Calibri" w:hAnsi="Calibri"/>
                <w:b w:val="0"/>
                <w:color w:val="0B2545"/>
                <w:sz w:val="18"/>
              </w:rPr>
              <w:t>Separate isolated environment per author repository is allowed and necessary. Controlled fairness comes from data IDs, evaluator, hardware, seeds, optimizer rule, timing boundaries and tuning budget - not one impossible shared dependency environment.</w:t>
            </w:r>
          </w:p>
        </w:tc>
      </w:tr>
    </w:tbl>
    <w:p>
      <w:pPr>
        <w:spacing w:after="0"/>
      </w:pPr>
    </w:p>
    <w:p>
      <w:pPr>
        <w:pStyle w:val="Heading1"/>
      </w:pPr>
      <w:r>
        <w:t>3. Selected eight models</w:t>
      </w:r>
    </w:p>
    <w:p>
      <w:r>
        <w:rPr>
          <w:b/>
        </w:rPr>
        <w:t xml:space="preserve">Selection principle. </w:t>
      </w:r>
      <w:r>
        <w:t>The roster must stay inside Venus's supplied fraud-model list, cover early and recent methods, represent distinct mechanisms, have public code, and collectively support the six datasets without redesigning the models.</w:t>
      </w:r>
    </w:p>
    <w:tbl>
      <w:tblPr>
        <w:tblStyle w:val="TableGrid"/>
        <w:tblW w:type="dxa" w:w="9360"/>
        <w:jc w:val="left"/>
        <w:tblLayout w:type="fixed"/>
        <w:tblLook w:firstColumn="1" w:firstRow="1" w:lastColumn="0" w:lastRow="0" w:noHBand="0" w:noVBand="1" w:val="04A0"/>
        <w:tblInd w:w="120" w:type="dxa"/>
      </w:tblPr>
      <w:tblGrid>
        <w:gridCol w:w="700"/>
        <w:gridCol w:w="1750"/>
        <w:gridCol w:w="2650"/>
        <w:gridCol w:w="4260"/>
      </w:tblGrid>
      <w:tr>
        <w:trPr>
          <w:tblHeader w:val="true"/>
          <w:cantSplit/>
        </w:trPr>
        <w:tc>
          <w:tcPr>
            <w:tcW w:type="dxa" w:w="70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Order</w:t>
            </w:r>
          </w:p>
        </w:tc>
        <w:tc>
          <w:tcPr>
            <w:tcW w:type="dxa" w:w="175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Model (year)</w:t>
            </w:r>
          </w:p>
        </w:tc>
        <w:tc>
          <w:tcPr>
            <w:tcW w:type="dxa" w:w="265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Main mechanism</w:t>
            </w:r>
          </w:p>
        </w:tc>
        <w:tc>
          <w:tcPr>
            <w:tcW w:type="dxa" w:w="426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Why selected / native repository coverage</w:t>
            </w:r>
          </w:p>
        </w:tc>
      </w:tr>
      <w:tr>
        <w:trPr>
          <w:cantSplit/>
        </w:trPr>
        <w:tc>
          <w:tcPr>
            <w:tcW w:type="dxa" w:w="700"/>
          </w:tcPr>
          <w:p>
            <w:pPr>
              <w:spacing w:before="0" w:after="0" w:line="259" w:lineRule="auto"/>
              <w:jc w:val="center"/>
            </w:pPr>
            <w:r/>
            <w:r>
              <w:rPr>
                <w:rFonts w:ascii="Calibri" w:hAnsi="Calibri"/>
                <w:b w:val="0"/>
                <w:color w:val="0B2545"/>
                <w:sz w:val="17"/>
              </w:rPr>
              <w:t>1</w:t>
            </w:r>
          </w:p>
        </w:tc>
        <w:tc>
          <w:tcPr>
            <w:tcW w:type="dxa" w:w="1750"/>
          </w:tcPr>
          <w:p>
            <w:pPr>
              <w:spacing w:before="0" w:after="0" w:line="259" w:lineRule="auto"/>
              <w:jc w:val="left"/>
            </w:pPr>
            <w:r/>
            <w:r>
              <w:rPr>
                <w:rFonts w:ascii="Calibri" w:hAnsi="Calibri"/>
                <w:b w:val="0"/>
                <w:color w:val="0B2545"/>
                <w:sz w:val="17"/>
              </w:rPr>
              <w:t>CARE-GNN (2020)</w:t>
            </w:r>
          </w:p>
        </w:tc>
        <w:tc>
          <w:tcPr>
            <w:tcW w:type="dxa" w:w="2650"/>
          </w:tcPr>
          <w:p>
            <w:pPr>
              <w:spacing w:before="0" w:after="0" w:line="259" w:lineRule="auto"/>
              <w:jc w:val="left"/>
            </w:pPr>
            <w:r/>
            <w:r>
              <w:rPr>
                <w:rFonts w:ascii="Calibri" w:hAnsi="Calibri"/>
                <w:b w:val="0"/>
                <w:color w:val="0B2545"/>
                <w:sz w:val="17"/>
              </w:rPr>
              <w:t>Camouflage-resistant, relation-aware neighbour selection</w:t>
            </w:r>
          </w:p>
        </w:tc>
        <w:tc>
          <w:tcPr>
            <w:tcW w:type="dxa" w:w="4260"/>
          </w:tcPr>
          <w:p>
            <w:pPr>
              <w:spacing w:before="0" w:after="0" w:line="259" w:lineRule="auto"/>
              <w:jc w:val="left"/>
            </w:pPr>
            <w:r/>
            <w:r>
              <w:rPr>
                <w:rFonts w:ascii="Calibri" w:hAnsi="Calibri"/>
                <w:b w:val="0"/>
                <w:color w:val="0B2545"/>
                <w:sz w:val="17"/>
              </w:rPr>
              <w:t>Foundational method explicitly relevant to YelpChi and Amazon.</w:t>
            </w:r>
          </w:p>
        </w:tc>
      </w:tr>
      <w:tr>
        <w:trPr>
          <w:cantSplit/>
        </w:trPr>
        <w:tc>
          <w:tcPr>
            <w:tcW w:type="dxa" w:w="700"/>
            <w:shd w:fill="F2F4F7" w:val="clear"/>
          </w:tcPr>
          <w:p>
            <w:pPr>
              <w:spacing w:before="0" w:after="0" w:line="259" w:lineRule="auto"/>
              <w:jc w:val="center"/>
            </w:pPr>
            <w:r/>
            <w:r>
              <w:rPr>
                <w:rFonts w:ascii="Calibri" w:hAnsi="Calibri"/>
                <w:b w:val="0"/>
                <w:color w:val="0B2545"/>
                <w:sz w:val="17"/>
              </w:rPr>
              <w:t>2</w:t>
            </w:r>
          </w:p>
        </w:tc>
        <w:tc>
          <w:tcPr>
            <w:tcW w:type="dxa" w:w="1750"/>
            <w:shd w:fill="F2F4F7" w:val="clear"/>
          </w:tcPr>
          <w:p>
            <w:pPr>
              <w:spacing w:before="0" w:after="0" w:line="259" w:lineRule="auto"/>
              <w:jc w:val="left"/>
            </w:pPr>
            <w:r/>
            <w:r>
              <w:rPr>
                <w:rFonts w:ascii="Calibri" w:hAnsi="Calibri"/>
                <w:b w:val="0"/>
                <w:color w:val="0B2545"/>
                <w:sz w:val="17"/>
              </w:rPr>
              <w:t>FRAUDRE (2021)</w:t>
            </w:r>
          </w:p>
        </w:tc>
        <w:tc>
          <w:tcPr>
            <w:tcW w:type="dxa" w:w="2650"/>
            <w:shd w:fill="F2F4F7" w:val="clear"/>
          </w:tcPr>
          <w:p>
            <w:pPr>
              <w:spacing w:before="0" w:after="0" w:line="259" w:lineRule="auto"/>
              <w:jc w:val="left"/>
            </w:pPr>
            <w:r/>
            <w:r>
              <w:rPr>
                <w:rFonts w:ascii="Calibri" w:hAnsi="Calibri"/>
                <w:b w:val="0"/>
                <w:color w:val="0B2545"/>
                <w:sz w:val="17"/>
              </w:rPr>
              <w:t>Dual resistance to graph inconsistency and class imbalance</w:t>
            </w:r>
          </w:p>
        </w:tc>
        <w:tc>
          <w:tcPr>
            <w:tcW w:type="dxa" w:w="4260"/>
            <w:shd w:fill="F2F4F7" w:val="clear"/>
          </w:tcPr>
          <w:p>
            <w:pPr>
              <w:spacing w:before="0" w:after="0" w:line="259" w:lineRule="auto"/>
              <w:jc w:val="left"/>
            </w:pPr>
            <w:r/>
            <w:r>
              <w:rPr>
                <w:rFonts w:ascii="Calibri" w:hAnsi="Calibri"/>
                <w:b w:val="0"/>
                <w:color w:val="0B2545"/>
                <w:sz w:val="17"/>
              </w:rPr>
              <w:t>One of the early models identified in the meeting; YelpChi and Amazon code.</w:t>
            </w:r>
          </w:p>
        </w:tc>
      </w:tr>
      <w:tr>
        <w:trPr>
          <w:cantSplit/>
        </w:trPr>
        <w:tc>
          <w:tcPr>
            <w:tcW w:type="dxa" w:w="700"/>
          </w:tcPr>
          <w:p>
            <w:pPr>
              <w:spacing w:before="0" w:after="0" w:line="259" w:lineRule="auto"/>
              <w:jc w:val="center"/>
            </w:pPr>
            <w:r/>
            <w:r>
              <w:rPr>
                <w:rFonts w:ascii="Calibri" w:hAnsi="Calibri"/>
                <w:b w:val="0"/>
                <w:color w:val="0B2545"/>
                <w:sz w:val="17"/>
              </w:rPr>
              <w:t>3</w:t>
            </w:r>
          </w:p>
        </w:tc>
        <w:tc>
          <w:tcPr>
            <w:tcW w:type="dxa" w:w="1750"/>
          </w:tcPr>
          <w:p>
            <w:pPr>
              <w:spacing w:before="0" w:after="0" w:line="259" w:lineRule="auto"/>
              <w:jc w:val="left"/>
            </w:pPr>
            <w:r/>
            <w:r>
              <w:rPr>
                <w:rFonts w:ascii="Calibri" w:hAnsi="Calibri"/>
                <w:b w:val="0"/>
                <w:color w:val="0B2545"/>
                <w:sz w:val="17"/>
              </w:rPr>
              <w:t>PC-GNN (2021)</w:t>
            </w:r>
          </w:p>
        </w:tc>
        <w:tc>
          <w:tcPr>
            <w:tcW w:type="dxa" w:w="2650"/>
          </w:tcPr>
          <w:p>
            <w:pPr>
              <w:spacing w:before="0" w:after="0" w:line="259" w:lineRule="auto"/>
              <w:jc w:val="left"/>
            </w:pPr>
            <w:r/>
            <w:r>
              <w:rPr>
                <w:rFonts w:ascii="Calibri" w:hAnsi="Calibri"/>
                <w:b w:val="0"/>
                <w:color w:val="0B2545"/>
                <w:sz w:val="17"/>
              </w:rPr>
              <w:t>Label-balanced sampling and informative neighbour selection</w:t>
            </w:r>
          </w:p>
        </w:tc>
        <w:tc>
          <w:tcPr>
            <w:tcW w:type="dxa" w:w="4260"/>
          </w:tcPr>
          <w:p>
            <w:pPr>
              <w:spacing w:before="0" w:after="0" w:line="259" w:lineRule="auto"/>
              <w:jc w:val="left"/>
            </w:pPr>
            <w:r/>
            <w:r>
              <w:rPr>
                <w:rFonts w:ascii="Calibri" w:hAnsi="Calibri"/>
                <w:b w:val="0"/>
                <w:color w:val="0B2545"/>
                <w:sz w:val="17"/>
              </w:rPr>
              <w:t>Foundational imbalance method; YelpChi and Amazon; partial reproduction already completed by Maruf.</w:t>
            </w:r>
          </w:p>
        </w:tc>
      </w:tr>
      <w:tr>
        <w:trPr>
          <w:cantSplit/>
        </w:trPr>
        <w:tc>
          <w:tcPr>
            <w:tcW w:type="dxa" w:w="700"/>
            <w:shd w:fill="F2F4F7" w:val="clear"/>
          </w:tcPr>
          <w:p>
            <w:pPr>
              <w:spacing w:before="0" w:after="0" w:line="259" w:lineRule="auto"/>
              <w:jc w:val="center"/>
            </w:pPr>
            <w:r/>
            <w:r>
              <w:rPr>
                <w:rFonts w:ascii="Calibri" w:hAnsi="Calibri"/>
                <w:b w:val="0"/>
                <w:color w:val="0B2545"/>
                <w:sz w:val="17"/>
              </w:rPr>
              <w:t>4</w:t>
            </w:r>
          </w:p>
        </w:tc>
        <w:tc>
          <w:tcPr>
            <w:tcW w:type="dxa" w:w="1750"/>
            <w:shd w:fill="F2F4F7" w:val="clear"/>
          </w:tcPr>
          <w:p>
            <w:pPr>
              <w:spacing w:before="0" w:after="0" w:line="259" w:lineRule="auto"/>
              <w:jc w:val="left"/>
            </w:pPr>
            <w:r/>
            <w:r>
              <w:rPr>
                <w:rFonts w:ascii="Calibri" w:hAnsi="Calibri"/>
                <w:b w:val="0"/>
                <w:color w:val="0B2545"/>
                <w:sz w:val="17"/>
              </w:rPr>
              <w:t>BWGNN (2022)</w:t>
            </w:r>
          </w:p>
        </w:tc>
        <w:tc>
          <w:tcPr>
            <w:tcW w:type="dxa" w:w="2650"/>
            <w:shd w:fill="F2F4F7" w:val="clear"/>
          </w:tcPr>
          <w:p>
            <w:pPr>
              <w:spacing w:before="0" w:after="0" w:line="259" w:lineRule="auto"/>
              <w:jc w:val="left"/>
            </w:pPr>
            <w:r/>
            <w:r>
              <w:rPr>
                <w:rFonts w:ascii="Calibri" w:hAnsi="Calibri"/>
                <w:b w:val="0"/>
                <w:color w:val="0B2545"/>
                <w:sz w:val="17"/>
              </w:rPr>
              <w:t>Beta-wavelet spectral filtering</w:t>
            </w:r>
          </w:p>
        </w:tc>
        <w:tc>
          <w:tcPr>
            <w:tcW w:type="dxa" w:w="4260"/>
            <w:shd w:fill="F2F4F7" w:val="clear"/>
          </w:tcPr>
          <w:p>
            <w:pPr>
              <w:spacing w:before="0" w:after="0" w:line="259" w:lineRule="auto"/>
              <w:jc w:val="left"/>
            </w:pPr>
            <w:r/>
            <w:r>
              <w:rPr>
                <w:rFonts w:ascii="Calibri" w:hAnsi="Calibri"/>
                <w:b w:val="0"/>
                <w:color w:val="0B2545"/>
                <w:sz w:val="17"/>
              </w:rPr>
              <w:t>Simple, reproducible spectral anchor; YelpChi, Amazon, T-Finance and T-Social.</w:t>
            </w:r>
          </w:p>
        </w:tc>
      </w:tr>
      <w:tr>
        <w:trPr>
          <w:cantSplit/>
        </w:trPr>
        <w:tc>
          <w:tcPr>
            <w:tcW w:type="dxa" w:w="700"/>
          </w:tcPr>
          <w:p>
            <w:pPr>
              <w:spacing w:before="0" w:after="0" w:line="259" w:lineRule="auto"/>
              <w:jc w:val="center"/>
            </w:pPr>
            <w:r/>
            <w:r>
              <w:rPr>
                <w:rFonts w:ascii="Calibri" w:hAnsi="Calibri"/>
                <w:b w:val="0"/>
                <w:color w:val="0B2545"/>
                <w:sz w:val="17"/>
              </w:rPr>
              <w:t>5</w:t>
            </w:r>
          </w:p>
        </w:tc>
        <w:tc>
          <w:tcPr>
            <w:tcW w:type="dxa" w:w="1750"/>
          </w:tcPr>
          <w:p>
            <w:pPr>
              <w:spacing w:before="0" w:after="0" w:line="259" w:lineRule="auto"/>
              <w:jc w:val="left"/>
            </w:pPr>
            <w:r/>
            <w:r>
              <w:rPr>
                <w:rFonts w:ascii="Calibri" w:hAnsi="Calibri"/>
                <w:b w:val="0"/>
                <w:color w:val="0B2545"/>
                <w:sz w:val="17"/>
              </w:rPr>
              <w:t>GHRN (2023)</w:t>
            </w:r>
          </w:p>
        </w:tc>
        <w:tc>
          <w:tcPr>
            <w:tcW w:type="dxa" w:w="2650"/>
          </w:tcPr>
          <w:p>
            <w:pPr>
              <w:spacing w:before="0" w:after="0" w:line="259" w:lineRule="auto"/>
              <w:jc w:val="left"/>
            </w:pPr>
            <w:r/>
            <w:r>
              <w:rPr>
                <w:rFonts w:ascii="Calibri" w:hAnsi="Calibri"/>
                <w:b w:val="0"/>
                <w:color w:val="0B2545"/>
                <w:sz w:val="17"/>
              </w:rPr>
              <w:t>Graph-heterophily-resistant spectral learning</w:t>
            </w:r>
          </w:p>
        </w:tc>
        <w:tc>
          <w:tcPr>
            <w:tcW w:type="dxa" w:w="4260"/>
          </w:tcPr>
          <w:p>
            <w:pPr>
              <w:spacing w:before="0" w:after="0" w:line="259" w:lineRule="auto"/>
              <w:jc w:val="left"/>
            </w:pPr>
            <w:r/>
            <w:r>
              <w:rPr>
                <w:rFonts w:ascii="Calibri" w:hAnsi="Calibri"/>
                <w:b w:val="0"/>
                <w:color w:val="0B2545"/>
                <w:sz w:val="17"/>
              </w:rPr>
              <w:t>Direct same-family progression from BWGNN on the same four datasets.</w:t>
            </w:r>
          </w:p>
        </w:tc>
      </w:tr>
      <w:tr>
        <w:trPr>
          <w:cantSplit/>
        </w:trPr>
        <w:tc>
          <w:tcPr>
            <w:tcW w:type="dxa" w:w="700"/>
            <w:shd w:fill="F2F4F7" w:val="clear"/>
          </w:tcPr>
          <w:p>
            <w:pPr>
              <w:spacing w:before="0" w:after="0" w:line="259" w:lineRule="auto"/>
              <w:jc w:val="center"/>
            </w:pPr>
            <w:r/>
            <w:r>
              <w:rPr>
                <w:rFonts w:ascii="Calibri" w:hAnsi="Calibri"/>
                <w:b w:val="0"/>
                <w:color w:val="0B2545"/>
                <w:sz w:val="17"/>
              </w:rPr>
              <w:t>6</w:t>
            </w:r>
          </w:p>
        </w:tc>
        <w:tc>
          <w:tcPr>
            <w:tcW w:type="dxa" w:w="1750"/>
            <w:shd w:fill="F2F4F7" w:val="clear"/>
          </w:tcPr>
          <w:p>
            <w:pPr>
              <w:spacing w:before="0" w:after="0" w:line="259" w:lineRule="auto"/>
              <w:jc w:val="left"/>
            </w:pPr>
            <w:r/>
            <w:r>
              <w:rPr>
                <w:rFonts w:ascii="Calibri" w:hAnsi="Calibri"/>
                <w:b w:val="0"/>
                <w:color w:val="0B2545"/>
                <w:sz w:val="17"/>
              </w:rPr>
              <w:t>SplitGNN (2023)</w:t>
            </w:r>
          </w:p>
        </w:tc>
        <w:tc>
          <w:tcPr>
            <w:tcW w:type="dxa" w:w="2650"/>
            <w:shd w:fill="F2F4F7" w:val="clear"/>
          </w:tcPr>
          <w:p>
            <w:pPr>
              <w:spacing w:before="0" w:after="0" w:line="259" w:lineRule="auto"/>
              <w:jc w:val="left"/>
            </w:pPr>
            <w:r/>
            <w:r>
              <w:rPr>
                <w:rFonts w:ascii="Calibri" w:hAnsi="Calibri"/>
                <w:b w:val="0"/>
                <w:color w:val="0B2545"/>
                <w:sz w:val="17"/>
              </w:rPr>
              <w:t>Fraud-specific spectral decomposition against heterophily</w:t>
            </w:r>
          </w:p>
        </w:tc>
        <w:tc>
          <w:tcPr>
            <w:tcW w:type="dxa" w:w="4260"/>
            <w:shd w:fill="F2F4F7" w:val="clear"/>
          </w:tcPr>
          <w:p>
            <w:pPr>
              <w:spacing w:before="0" w:after="0" w:line="259" w:lineRule="auto"/>
              <w:jc w:val="left"/>
            </w:pPr>
            <w:r/>
            <w:r>
              <w:rPr>
                <w:rFonts w:ascii="Calibri" w:hAnsi="Calibri"/>
                <w:b w:val="0"/>
                <w:color w:val="0B2545"/>
                <w:sz w:val="17"/>
              </w:rPr>
              <w:t>Only selected repository with native FDCompCN configuration; also YelpChi and Amazon.</w:t>
            </w:r>
          </w:p>
        </w:tc>
      </w:tr>
      <w:tr>
        <w:trPr>
          <w:cantSplit/>
        </w:trPr>
        <w:tc>
          <w:tcPr>
            <w:tcW w:type="dxa" w:w="700"/>
          </w:tcPr>
          <w:p>
            <w:pPr>
              <w:spacing w:before="0" w:after="0" w:line="259" w:lineRule="auto"/>
              <w:jc w:val="center"/>
            </w:pPr>
            <w:r/>
            <w:r>
              <w:rPr>
                <w:rFonts w:ascii="Calibri" w:hAnsi="Calibri"/>
                <w:b w:val="0"/>
                <w:color w:val="0B2545"/>
                <w:sz w:val="17"/>
              </w:rPr>
              <w:t>7</w:t>
            </w:r>
          </w:p>
        </w:tc>
        <w:tc>
          <w:tcPr>
            <w:tcW w:type="dxa" w:w="1750"/>
          </w:tcPr>
          <w:p>
            <w:pPr>
              <w:spacing w:before="0" w:after="0" w:line="259" w:lineRule="auto"/>
              <w:jc w:val="left"/>
            </w:pPr>
            <w:r/>
            <w:r>
              <w:rPr>
                <w:rFonts w:ascii="Calibri" w:hAnsi="Calibri"/>
                <w:b w:val="0"/>
                <w:color w:val="0B2545"/>
                <w:sz w:val="17"/>
              </w:rPr>
              <w:t>PMP (2024)</w:t>
            </w:r>
          </w:p>
        </w:tc>
        <w:tc>
          <w:tcPr>
            <w:tcW w:type="dxa" w:w="2650"/>
          </w:tcPr>
          <w:p>
            <w:pPr>
              <w:spacing w:before="0" w:after="0" w:line="259" w:lineRule="auto"/>
              <w:jc w:val="left"/>
            </w:pPr>
            <w:r/>
            <w:r>
              <w:rPr>
                <w:rFonts w:ascii="Calibri" w:hAnsi="Calibri"/>
                <w:b w:val="0"/>
                <w:color w:val="0B2545"/>
                <w:sz w:val="17"/>
              </w:rPr>
              <w:t>Partitioned homophilic/heterophilic message passing</w:t>
            </w:r>
          </w:p>
        </w:tc>
        <w:tc>
          <w:tcPr>
            <w:tcW w:type="dxa" w:w="4260"/>
          </w:tcPr>
          <w:p>
            <w:pPr>
              <w:spacing w:before="0" w:after="0" w:line="259" w:lineRule="auto"/>
              <w:jc w:val="left"/>
            </w:pPr>
            <w:r/>
            <w:r>
              <w:rPr>
                <w:rFonts w:ascii="Calibri" w:hAnsi="Calibri"/>
                <w:b w:val="0"/>
                <w:color w:val="0B2545"/>
                <w:sz w:val="17"/>
              </w:rPr>
              <w:t>Strong fit to heterophily plus imbalance; reproducibility package and preliminary run already available.</w:t>
            </w:r>
          </w:p>
        </w:tc>
      </w:tr>
      <w:tr>
        <w:trPr>
          <w:cantSplit/>
        </w:trPr>
        <w:tc>
          <w:tcPr>
            <w:tcW w:type="dxa" w:w="700"/>
            <w:shd w:fill="F2F4F7" w:val="clear"/>
          </w:tcPr>
          <w:p>
            <w:pPr>
              <w:spacing w:before="0" w:after="0" w:line="259" w:lineRule="auto"/>
              <w:jc w:val="center"/>
            </w:pPr>
            <w:r/>
            <w:r>
              <w:rPr>
                <w:rFonts w:ascii="Calibri" w:hAnsi="Calibri"/>
                <w:b w:val="0"/>
                <w:color w:val="0B2545"/>
                <w:sz w:val="17"/>
              </w:rPr>
              <w:t>8</w:t>
            </w:r>
          </w:p>
        </w:tc>
        <w:tc>
          <w:tcPr>
            <w:tcW w:type="dxa" w:w="1750"/>
            <w:shd w:fill="F2F4F7" w:val="clear"/>
          </w:tcPr>
          <w:p>
            <w:pPr>
              <w:spacing w:before="0" w:after="0" w:line="259" w:lineRule="auto"/>
              <w:jc w:val="left"/>
            </w:pPr>
            <w:r/>
            <w:r>
              <w:rPr>
                <w:rFonts w:ascii="Calibri" w:hAnsi="Calibri"/>
                <w:b w:val="0"/>
                <w:color w:val="0B2545"/>
                <w:sz w:val="17"/>
              </w:rPr>
              <w:t>DGA-GNN (2024)</w:t>
            </w:r>
          </w:p>
        </w:tc>
        <w:tc>
          <w:tcPr>
            <w:tcW w:type="dxa" w:w="2650"/>
            <w:shd w:fill="F2F4F7" w:val="clear"/>
          </w:tcPr>
          <w:p>
            <w:pPr>
              <w:spacing w:before="0" w:after="0" w:line="259" w:lineRule="auto"/>
              <w:jc w:val="left"/>
            </w:pPr>
            <w:r/>
            <w:r>
              <w:rPr>
                <w:rFonts w:ascii="Calibri" w:hAnsi="Calibri"/>
                <w:b w:val="0"/>
                <w:color w:val="0B2545"/>
                <w:sz w:val="17"/>
              </w:rPr>
              <w:t>Dynamic grouping and decision-tree binning</w:t>
            </w:r>
          </w:p>
        </w:tc>
        <w:tc>
          <w:tcPr>
            <w:tcW w:type="dxa" w:w="4260"/>
            <w:shd w:fill="F2F4F7" w:val="clear"/>
          </w:tcPr>
          <w:p>
            <w:pPr>
              <w:spacing w:before="0" w:after="0" w:line="259" w:lineRule="auto"/>
              <w:jc w:val="left"/>
            </w:pPr>
            <w:r/>
            <w:r>
              <w:rPr>
                <w:rFonts w:ascii="Calibri" w:hAnsi="Calibri"/>
                <w:b w:val="0"/>
                <w:color w:val="0B2545"/>
                <w:sz w:val="17"/>
              </w:rPr>
              <w:t>Best dataset-coverage addition: official configurations for YelpChi, Amazon, T-Finance, T-Social and Elliptic.</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6" w:val="clear"/>
          </w:tcPr>
          <w:p>
            <w:pPr>
              <w:spacing w:after="0"/>
            </w:pPr>
            <w:r>
              <w:rPr>
                <w:rFonts w:ascii="Calibri" w:hAnsi="Calibri"/>
                <w:b/>
                <w:color w:val="1F4D78"/>
                <w:sz w:val="21"/>
              </w:rPr>
              <w:t xml:space="preserve">Why this is better than the two competing rosters: </w:t>
            </w:r>
            <w:r>
              <w:rPr>
                <w:rFonts w:ascii="Calibri" w:hAnsi="Calibri"/>
                <w:color w:val="0B2545"/>
                <w:sz w:val="21"/>
              </w:rPr>
              <w:t>RioGNN and GAT-COBO are removed because they are not in the supplied 24-model list and GAT-COBO uses a mismatched telecom-fraud data representation. SEC-GFD remains the first reserve because it overlaps strongly with the already selected spectral/heterophily family. DGA-GNN is retained because it uniquely improves current six-dataset coverage.</w:t>
            </w:r>
          </w:p>
        </w:tc>
      </w:tr>
    </w:tbl>
    <w:p>
      <w:pPr>
        <w:spacing w:after="0"/>
      </w:pPr>
    </w:p>
    <w:p>
      <w:pPr>
        <w:pStyle w:val="Heading1"/>
      </w:pPr>
      <w:r>
        <w:t>4. Proposed ownership</w:t>
      </w:r>
    </w:p>
    <w:tbl>
      <w:tblPr>
        <w:tblStyle w:val="TableGrid"/>
        <w:tblW w:type="dxa" w:w="9360"/>
        <w:jc w:val="left"/>
        <w:tblLayout w:type="fixed"/>
        <w:tblLook w:firstColumn="1" w:firstRow="1" w:lastColumn="0" w:lastRow="0" w:noHBand="0" w:noVBand="1" w:val="04A0"/>
        <w:tblInd w:w="120" w:type="dxa"/>
      </w:tblPr>
      <w:tblGrid>
        <w:gridCol w:w="1550"/>
        <w:gridCol w:w="1800"/>
        <w:gridCol w:w="1800"/>
        <w:gridCol w:w="4210"/>
      </w:tblGrid>
      <w:tr>
        <w:trPr>
          <w:tblHeader w:val="true"/>
          <w:cantSplit/>
        </w:trPr>
        <w:tc>
          <w:tcPr>
            <w:tcW w:type="dxa" w:w="15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Member</w:t>
            </w:r>
          </w:p>
        </w:tc>
        <w:tc>
          <w:tcPr>
            <w:tcW w:type="dxa" w:w="18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Model 1</w:t>
            </w:r>
          </w:p>
        </w:tc>
        <w:tc>
          <w:tcPr>
            <w:tcW w:type="dxa" w:w="18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Model 2</w:t>
            </w:r>
          </w:p>
        </w:tc>
        <w:tc>
          <w:tcPr>
            <w:tcW w:type="dxa" w:w="421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Reason</w:t>
            </w:r>
          </w:p>
        </w:tc>
      </w:tr>
      <w:tr>
        <w:trPr>
          <w:cantSplit/>
        </w:trPr>
        <w:tc>
          <w:tcPr>
            <w:tcW w:type="dxa" w:w="1550"/>
          </w:tcPr>
          <w:p>
            <w:pPr>
              <w:spacing w:before="0" w:after="0" w:line="259" w:lineRule="auto"/>
              <w:jc w:val="center"/>
            </w:pPr>
            <w:r/>
            <w:r>
              <w:rPr>
                <w:rFonts w:ascii="Calibri" w:hAnsi="Calibri"/>
                <w:b w:val="0"/>
                <w:color w:val="0B2545"/>
                <w:sz w:val="18"/>
              </w:rPr>
              <w:t>Akib</w:t>
            </w:r>
          </w:p>
        </w:tc>
        <w:tc>
          <w:tcPr>
            <w:tcW w:type="dxa" w:w="1800"/>
          </w:tcPr>
          <w:p>
            <w:pPr>
              <w:spacing w:before="0" w:after="0" w:line="259" w:lineRule="auto"/>
              <w:jc w:val="left"/>
            </w:pPr>
            <w:r/>
            <w:r>
              <w:rPr>
                <w:rFonts w:ascii="Calibri" w:hAnsi="Calibri"/>
                <w:b w:val="0"/>
                <w:color w:val="0B2545"/>
                <w:sz w:val="18"/>
              </w:rPr>
              <w:t>CARE-GNN</w:t>
            </w:r>
          </w:p>
        </w:tc>
        <w:tc>
          <w:tcPr>
            <w:tcW w:type="dxa" w:w="1800"/>
          </w:tcPr>
          <w:p>
            <w:pPr>
              <w:spacing w:before="0" w:after="0" w:line="259" w:lineRule="auto"/>
              <w:jc w:val="left"/>
            </w:pPr>
            <w:r/>
            <w:r>
              <w:rPr>
                <w:rFonts w:ascii="Calibri" w:hAnsi="Calibri"/>
                <w:b w:val="0"/>
                <w:color w:val="0B2545"/>
                <w:sz w:val="18"/>
              </w:rPr>
              <w:t>GHRN</w:t>
            </w:r>
          </w:p>
        </w:tc>
        <w:tc>
          <w:tcPr>
            <w:tcW w:type="dxa" w:w="4210"/>
          </w:tcPr>
          <w:p>
            <w:pPr>
              <w:spacing w:before="0" w:after="0" w:line="259" w:lineRule="auto"/>
              <w:jc w:val="left"/>
            </w:pPr>
            <w:r/>
            <w:r>
              <w:rPr>
                <w:rFonts w:ascii="Calibri" w:hAnsi="Calibri"/>
                <w:b w:val="0"/>
                <w:color w:val="0B2545"/>
                <w:sz w:val="18"/>
              </w:rPr>
              <w:t>Classic camouflage model plus later spectral heterophily model; aligns with framework/configuration work.</w:t>
            </w:r>
          </w:p>
        </w:tc>
      </w:tr>
      <w:tr>
        <w:trPr>
          <w:cantSplit/>
        </w:trPr>
        <w:tc>
          <w:tcPr>
            <w:tcW w:type="dxa" w:w="1550"/>
            <w:shd w:fill="F2F4F7" w:val="clear"/>
          </w:tcPr>
          <w:p>
            <w:pPr>
              <w:spacing w:before="0" w:after="0" w:line="259" w:lineRule="auto"/>
              <w:jc w:val="center"/>
            </w:pPr>
            <w:r/>
            <w:r>
              <w:rPr>
                <w:rFonts w:ascii="Calibri" w:hAnsi="Calibri"/>
                <w:b w:val="0"/>
                <w:color w:val="0B2545"/>
                <w:sz w:val="18"/>
              </w:rPr>
              <w:t>Maruf</w:t>
            </w:r>
          </w:p>
        </w:tc>
        <w:tc>
          <w:tcPr>
            <w:tcW w:type="dxa" w:w="1800"/>
            <w:shd w:fill="F2F4F7" w:val="clear"/>
          </w:tcPr>
          <w:p>
            <w:pPr>
              <w:spacing w:before="0" w:after="0" w:line="259" w:lineRule="auto"/>
              <w:jc w:val="left"/>
            </w:pPr>
            <w:r/>
            <w:r>
              <w:rPr>
                <w:rFonts w:ascii="Calibri" w:hAnsi="Calibri"/>
                <w:b w:val="0"/>
                <w:color w:val="0B2545"/>
                <w:sz w:val="18"/>
              </w:rPr>
              <w:t>PC-GNN</w:t>
            </w:r>
          </w:p>
        </w:tc>
        <w:tc>
          <w:tcPr>
            <w:tcW w:type="dxa" w:w="1800"/>
            <w:shd w:fill="F2F4F7" w:val="clear"/>
          </w:tcPr>
          <w:p>
            <w:pPr>
              <w:spacing w:before="0" w:after="0" w:line="259" w:lineRule="auto"/>
              <w:jc w:val="left"/>
            </w:pPr>
            <w:r/>
            <w:r>
              <w:rPr>
                <w:rFonts w:ascii="Calibri" w:hAnsi="Calibri"/>
                <w:b w:val="0"/>
                <w:color w:val="0B2545"/>
                <w:sz w:val="18"/>
              </w:rPr>
              <w:t>BWGNN</w:t>
            </w:r>
          </w:p>
        </w:tc>
        <w:tc>
          <w:tcPr>
            <w:tcW w:type="dxa" w:w="4210"/>
            <w:shd w:fill="F2F4F7" w:val="clear"/>
          </w:tcPr>
          <w:p>
            <w:pPr>
              <w:spacing w:before="0" w:after="0" w:line="259" w:lineRule="auto"/>
              <w:jc w:val="left"/>
            </w:pPr>
            <w:r/>
            <w:r>
              <w:rPr>
                <w:rFonts w:ascii="Calibri" w:hAnsi="Calibri"/>
                <w:b w:val="0"/>
                <w:color w:val="0B2545"/>
                <w:sz w:val="18"/>
              </w:rPr>
              <w:t>Uses existing PC-GNN reproduction experience and completed T-Finance/BWGNN environment work.</w:t>
            </w:r>
          </w:p>
        </w:tc>
      </w:tr>
      <w:tr>
        <w:trPr>
          <w:cantSplit/>
        </w:trPr>
        <w:tc>
          <w:tcPr>
            <w:tcW w:type="dxa" w:w="1550"/>
          </w:tcPr>
          <w:p>
            <w:pPr>
              <w:spacing w:before="0" w:after="0" w:line="259" w:lineRule="auto"/>
              <w:jc w:val="center"/>
            </w:pPr>
            <w:r/>
            <w:r>
              <w:rPr>
                <w:rFonts w:ascii="Calibri" w:hAnsi="Calibri"/>
                <w:b w:val="0"/>
                <w:color w:val="0B2545"/>
                <w:sz w:val="18"/>
              </w:rPr>
              <w:t>Ishraq</w:t>
            </w:r>
          </w:p>
        </w:tc>
        <w:tc>
          <w:tcPr>
            <w:tcW w:type="dxa" w:w="1800"/>
          </w:tcPr>
          <w:p>
            <w:pPr>
              <w:spacing w:before="0" w:after="0" w:line="259" w:lineRule="auto"/>
              <w:jc w:val="left"/>
            </w:pPr>
            <w:r/>
            <w:r>
              <w:rPr>
                <w:rFonts w:ascii="Calibri" w:hAnsi="Calibri"/>
                <w:b w:val="0"/>
                <w:color w:val="0B2545"/>
                <w:sz w:val="18"/>
              </w:rPr>
              <w:t>FRAUDRE</w:t>
            </w:r>
          </w:p>
        </w:tc>
        <w:tc>
          <w:tcPr>
            <w:tcW w:type="dxa" w:w="1800"/>
          </w:tcPr>
          <w:p>
            <w:pPr>
              <w:spacing w:before="0" w:after="0" w:line="259" w:lineRule="auto"/>
              <w:jc w:val="left"/>
            </w:pPr>
            <w:r/>
            <w:r>
              <w:rPr>
                <w:rFonts w:ascii="Calibri" w:hAnsi="Calibri"/>
                <w:b w:val="0"/>
                <w:color w:val="0B2545"/>
                <w:sz w:val="18"/>
              </w:rPr>
              <w:t>SplitGNN</w:t>
            </w:r>
          </w:p>
        </w:tc>
        <w:tc>
          <w:tcPr>
            <w:tcW w:type="dxa" w:w="4210"/>
          </w:tcPr>
          <w:p>
            <w:pPr>
              <w:spacing w:before="0" w:after="0" w:line="259" w:lineRule="auto"/>
              <w:jc w:val="left"/>
            </w:pPr>
            <w:r/>
            <w:r>
              <w:rPr>
                <w:rFonts w:ascii="Calibri" w:hAnsi="Calibri"/>
                <w:b w:val="0"/>
                <w:color w:val="0B2545"/>
                <w:sz w:val="18"/>
              </w:rPr>
              <w:t>Feasibility/reproduction role plus direct FDCompCN alignment.</w:t>
            </w:r>
          </w:p>
        </w:tc>
      </w:tr>
      <w:tr>
        <w:trPr>
          <w:cantSplit/>
        </w:trPr>
        <w:tc>
          <w:tcPr>
            <w:tcW w:type="dxa" w:w="1550"/>
            <w:shd w:fill="F2F4F7" w:val="clear"/>
          </w:tcPr>
          <w:p>
            <w:pPr>
              <w:spacing w:before="0" w:after="0" w:line="259" w:lineRule="auto"/>
              <w:jc w:val="center"/>
            </w:pPr>
            <w:r/>
            <w:r>
              <w:rPr>
                <w:rFonts w:ascii="Calibri" w:hAnsi="Calibri"/>
                <w:b w:val="0"/>
                <w:color w:val="0B2545"/>
                <w:sz w:val="18"/>
              </w:rPr>
              <w:t>Pathik</w:t>
            </w:r>
          </w:p>
        </w:tc>
        <w:tc>
          <w:tcPr>
            <w:tcW w:type="dxa" w:w="1800"/>
            <w:shd w:fill="F2F4F7" w:val="clear"/>
          </w:tcPr>
          <w:p>
            <w:pPr>
              <w:spacing w:before="0" w:after="0" w:line="259" w:lineRule="auto"/>
              <w:jc w:val="left"/>
            </w:pPr>
            <w:r/>
            <w:r>
              <w:rPr>
                <w:rFonts w:ascii="Calibri" w:hAnsi="Calibri"/>
                <w:b w:val="0"/>
                <w:color w:val="0B2545"/>
                <w:sz w:val="18"/>
              </w:rPr>
              <w:t>PMP</w:t>
            </w:r>
          </w:p>
        </w:tc>
        <w:tc>
          <w:tcPr>
            <w:tcW w:type="dxa" w:w="1800"/>
            <w:shd w:fill="F2F4F7" w:val="clear"/>
          </w:tcPr>
          <w:p>
            <w:pPr>
              <w:spacing w:before="0" w:after="0" w:line="259" w:lineRule="auto"/>
              <w:jc w:val="left"/>
            </w:pPr>
            <w:r/>
            <w:r>
              <w:rPr>
                <w:rFonts w:ascii="Calibri" w:hAnsi="Calibri"/>
                <w:b w:val="0"/>
                <w:color w:val="0B2545"/>
                <w:sz w:val="18"/>
              </w:rPr>
              <w:t>DGA-GNN</w:t>
            </w:r>
          </w:p>
        </w:tc>
        <w:tc>
          <w:tcPr>
            <w:tcW w:type="dxa" w:w="4210"/>
            <w:shd w:fill="F2F4F7" w:val="clear"/>
          </w:tcPr>
          <w:p>
            <w:pPr>
              <w:spacing w:before="0" w:after="0" w:line="259" w:lineRule="auto"/>
              <w:jc w:val="left"/>
            </w:pPr>
            <w:r/>
            <w:r>
              <w:rPr>
                <w:rFonts w:ascii="Calibri" w:hAnsi="Calibri"/>
                <w:b w:val="0"/>
                <w:color w:val="0B2545"/>
                <w:sz w:val="18"/>
              </w:rPr>
              <w:t>PMP progress plus broad multi-dataset model; aligns with evaluation and runtime work.</w:t>
            </w:r>
          </w:p>
        </w:tc>
      </w:tr>
    </w:tbl>
    <w:p>
      <w:pPr>
        <w:spacing w:after="0"/>
      </w:pPr>
    </w:p>
    <w:p>
      <w:r>
        <w:rPr>
          <w:rFonts w:ascii="Calibri" w:hAnsi="Calibri"/>
          <w:b/>
          <w:color w:val="0B2545"/>
          <w:sz w:val="22"/>
        </w:rPr>
        <w:t xml:space="preserve">Ownership rule: </w:t>
      </w:r>
      <w:r>
        <w:rPr>
          <w:rFonts w:ascii="Calibri" w:hAnsi="Calibri"/>
          <w:color w:val="0B2545"/>
          <w:sz w:val="22"/>
        </w:rPr>
        <w:t>change an assignment only because of verified existing progress or a failed feasibility gate. Every model must also have a second member review its configuration and result record.</w:t>
      </w:r>
    </w:p>
    <w:p>
      <w:pPr>
        <w:pStyle w:val="Heading1"/>
      </w:pPr>
      <w:r>
        <w:t>5. Dataset verification requirements</w:t>
      </w:r>
    </w:p>
    <w:p>
      <w:pPr>
        <w:numPr>
          <w:ilvl w:val="0"/>
          <w:numId w:val="10"/>
        </w:numPr>
        <w:spacing w:before="0" w:after="80" w:line="300" w:lineRule="auto"/>
      </w:pPr>
      <w:r>
        <w:rPr>
          <w:rFonts w:ascii="Calibri" w:hAnsi="Calibri"/>
          <w:color w:val="0B2545"/>
          <w:sz w:val="22"/>
        </w:rPr>
        <w:t>Load the actual processed dataset used for the benchmark; do not rely only on paper statistics.</w:t>
      </w:r>
    </w:p>
    <w:p>
      <w:pPr>
        <w:numPr>
          <w:ilvl w:val="0"/>
          <w:numId w:val="10"/>
        </w:numPr>
        <w:spacing w:before="0" w:after="80" w:line="300" w:lineRule="auto"/>
      </w:pPr>
      <w:r>
        <w:rPr>
          <w:rFonts w:ascii="Calibri" w:hAnsi="Calibri"/>
          <w:color w:val="0B2545"/>
          <w:sz w:val="22"/>
        </w:rPr>
        <w:t>Record nodes, stored edge entries, logical/undirected edges where relevant, features, fraud count, benign count, fraud percentage and benign-to-fraud imbalance ratio.</w:t>
      </w:r>
    </w:p>
    <w:p>
      <w:pPr>
        <w:numPr>
          <w:ilvl w:val="0"/>
          <w:numId w:val="10"/>
        </w:numPr>
        <w:spacing w:before="0" w:after="80" w:line="300" w:lineRule="auto"/>
      </w:pPr>
      <w:r>
        <w:rPr>
          <w:rFonts w:ascii="Calibri" w:hAnsi="Calibri"/>
          <w:color w:val="0B2545"/>
          <w:sz w:val="22"/>
        </w:rPr>
        <w:t>Record graph type: static/dynamic, homogeneous/heterogeneous, node types and relation types.</w:t>
      </w:r>
    </w:p>
    <w:p>
      <w:pPr>
        <w:numPr>
          <w:ilvl w:val="0"/>
          <w:numId w:val="10"/>
        </w:numPr>
        <w:spacing w:before="0" w:after="80" w:line="300" w:lineRule="auto"/>
      </w:pPr>
      <w:r>
        <w:rPr>
          <w:rFonts w:ascii="Calibri" w:hAnsi="Calibri"/>
          <w:color w:val="0B2545"/>
          <w:sz w:val="22"/>
        </w:rPr>
        <w:t>Verify whether anomaly labels are organic/real, regulatory/suspicious labels, or synthetic/injected.</w:t>
      </w:r>
    </w:p>
    <w:p>
      <w:pPr>
        <w:numPr>
          <w:ilvl w:val="0"/>
          <w:numId w:val="10"/>
        </w:numPr>
        <w:spacing w:before="0" w:after="80" w:line="300" w:lineRule="auto"/>
      </w:pPr>
      <w:r>
        <w:rPr>
          <w:rFonts w:ascii="Calibri" w:hAnsi="Calibri"/>
          <w:color w:val="0B2545"/>
          <w:sz w:val="22"/>
        </w:rPr>
        <w:t>Record the original author split separately from the unified benchmark split, including seed, stratification and random/temporal status.</w:t>
      </w:r>
    </w:p>
    <w:p>
      <w:pPr>
        <w:numPr>
          <w:ilvl w:val="0"/>
          <w:numId w:val="10"/>
        </w:numPr>
        <w:spacing w:before="0" w:after="80" w:line="300" w:lineRule="auto"/>
      </w:pPr>
      <w:r>
        <w:rPr>
          <w:rFonts w:ascii="Calibri" w:hAnsi="Calibri"/>
          <w:color w:val="0B2545"/>
          <w:sz w:val="22"/>
        </w:rPr>
        <w:t>For YelpChi, Amazon and FDCompCN, calculate heterophily per relation and on the combined graph where feasible.</w:t>
      </w:r>
    </w:p>
    <w:p>
      <w:pPr>
        <w:pStyle w:val="Heading2"/>
      </w:pPr>
      <w:r>
        <w:t>Heterophily convention</w:t>
      </w:r>
    </w:p>
    <w:p>
      <w:r>
        <w:rPr>
          <w:b/>
        </w:rPr>
        <w:t xml:space="preserve">Global heterophily: </w:t>
      </w:r>
      <w:r>
        <w:t>different-label eligible edges divided by all eligible labelled edges. State whether reverse duplicates count once or twice, exclude self-loops, and exclude edges with an unlabelled endpoint.</w:t>
      </w:r>
    </w:p>
    <w:p>
      <w:r>
        <w:rPr>
          <w:b/>
        </w:rPr>
        <w:t xml:space="preserve">Primary local heterophily: </w:t>
      </w:r>
      <w:r>
        <w:t>for each fraud node, benign-labelled one-hop neighbours divided by all eligible labelled one-hop neighbours. Report fraud-node mean, median and standard deviation. All-node and benign-node summaries are supplementary.</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7F4EA" w:val="clear"/>
          </w:tcPr>
          <w:p>
            <w:pPr>
              <w:spacing w:after="0"/>
            </w:pPr>
            <w:r>
              <w:rPr>
                <w:rFonts w:ascii="Calibri" w:hAnsi="Calibri"/>
                <w:b/>
                <w:color w:val="1F4D78"/>
                <w:sz w:val="21"/>
              </w:rPr>
              <w:t xml:space="preserve">Confirmed paper: </w:t>
            </w:r>
            <w:r>
              <w:rPr>
                <w:rFonts w:ascii="Calibri" w:hAnsi="Calibri"/>
                <w:color w:val="0B2545"/>
                <w:sz w:val="21"/>
              </w:rPr>
              <w:t>The meeting transcript says “Tropical/Tropic,” and the supplied ICDM paper is TROPICAL: Transformer-Based Hypergraph Learning for Camouflaged Fraudster Detection. Use it as the heterophily-method reference; GHRN is a selected model, not the screen-shared paper.</w:t>
            </w:r>
          </w:p>
        </w:tc>
      </w:tr>
    </w:tbl>
    <w:p>
      <w:pPr>
        <w:spacing w:after="0"/>
      </w:pPr>
    </w:p>
    <w:p>
      <w:pPr>
        <w:pStyle w:val="Heading2"/>
      </w:pPr>
      <w:r>
        <w:t>Verified T-Finance example already completed</w:t>
      </w:r>
    </w:p>
    <w:tbl>
      <w:tblPr>
        <w:tblStyle w:val="TableGrid"/>
        <w:tblW w:type="dxa" w:w="9360"/>
        <w:jc w:val="left"/>
        <w:tblLayout w:type="fixed"/>
        <w:tblLook w:firstColumn="1" w:firstRow="1" w:lastColumn="0" w:lastRow="0" w:noHBand="0" w:noVBand="1" w:val="04A0"/>
        <w:tblInd w:w="120" w:type="dxa"/>
      </w:tblPr>
      <w:tblGrid>
        <w:gridCol w:w="2450"/>
        <w:gridCol w:w="6910"/>
      </w:tblGrid>
      <w:tr>
        <w:trPr>
          <w:tblHeader w:val="true"/>
          <w:cantSplit/>
        </w:trPr>
        <w:tc>
          <w:tcPr>
            <w:tcW w:type="dxa" w:w="24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Field</w:t>
            </w:r>
          </w:p>
        </w:tc>
        <w:tc>
          <w:tcPr>
            <w:tcW w:type="dxa" w:w="691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Verified value</w:t>
            </w:r>
          </w:p>
        </w:tc>
      </w:tr>
      <w:tr>
        <w:trPr>
          <w:cantSplit/>
        </w:trPr>
        <w:tc>
          <w:tcPr>
            <w:tcW w:type="dxa" w:w="2450"/>
          </w:tcPr>
          <w:p>
            <w:pPr>
              <w:spacing w:before="0" w:after="0" w:line="259" w:lineRule="auto"/>
              <w:jc w:val="left"/>
            </w:pPr>
            <w:r/>
            <w:r>
              <w:rPr>
                <w:rFonts w:ascii="Calibri" w:hAnsi="Calibri"/>
                <w:b w:val="0"/>
                <w:color w:val="0B2545"/>
                <w:sz w:val="18"/>
              </w:rPr>
              <w:t>Nodes / features</w:t>
            </w:r>
          </w:p>
        </w:tc>
        <w:tc>
          <w:tcPr>
            <w:tcW w:type="dxa" w:w="6910"/>
          </w:tcPr>
          <w:p>
            <w:pPr>
              <w:spacing w:before="0" w:after="0" w:line="259" w:lineRule="auto"/>
              <w:jc w:val="left"/>
            </w:pPr>
            <w:r/>
            <w:r>
              <w:rPr>
                <w:rFonts w:ascii="Calibri" w:hAnsi="Calibri"/>
                <w:b w:val="0"/>
                <w:color w:val="0B2545"/>
                <w:sz w:val="18"/>
              </w:rPr>
              <w:t>39,357 / 10</w:t>
            </w:r>
          </w:p>
        </w:tc>
      </w:tr>
      <w:tr>
        <w:trPr>
          <w:cantSplit/>
        </w:trPr>
        <w:tc>
          <w:tcPr>
            <w:tcW w:type="dxa" w:w="2450"/>
            <w:shd w:fill="F2F4F7" w:val="clear"/>
          </w:tcPr>
          <w:p>
            <w:pPr>
              <w:spacing w:before="0" w:after="0" w:line="259" w:lineRule="auto"/>
              <w:jc w:val="left"/>
            </w:pPr>
            <w:r/>
            <w:r>
              <w:rPr>
                <w:rFonts w:ascii="Calibri" w:hAnsi="Calibri"/>
                <w:b w:val="0"/>
                <w:color w:val="0B2545"/>
                <w:sz w:val="18"/>
              </w:rPr>
              <w:t>Fraud / benign</w:t>
            </w:r>
          </w:p>
        </w:tc>
        <w:tc>
          <w:tcPr>
            <w:tcW w:type="dxa" w:w="6910"/>
            <w:shd w:fill="F2F4F7" w:val="clear"/>
          </w:tcPr>
          <w:p>
            <w:pPr>
              <w:spacing w:before="0" w:after="0" w:line="259" w:lineRule="auto"/>
              <w:jc w:val="left"/>
            </w:pPr>
            <w:r/>
            <w:r>
              <w:rPr>
                <w:rFonts w:ascii="Calibri" w:hAnsi="Calibri"/>
                <w:b w:val="0"/>
                <w:color w:val="0B2545"/>
                <w:sz w:val="18"/>
              </w:rPr>
              <w:t>1,803 / 37,554; fraud rate 4.5811%; imbalance 20.8286:1</w:t>
            </w:r>
          </w:p>
        </w:tc>
      </w:tr>
      <w:tr>
        <w:trPr>
          <w:cantSplit/>
        </w:trPr>
        <w:tc>
          <w:tcPr>
            <w:tcW w:type="dxa" w:w="2450"/>
          </w:tcPr>
          <w:p>
            <w:pPr>
              <w:spacing w:before="0" w:after="0" w:line="259" w:lineRule="auto"/>
              <w:jc w:val="left"/>
            </w:pPr>
            <w:r/>
            <w:r>
              <w:rPr>
                <w:rFonts w:ascii="Calibri" w:hAnsi="Calibri"/>
                <w:b w:val="0"/>
                <w:color w:val="0B2545"/>
                <w:sz w:val="18"/>
              </w:rPr>
              <w:t>Edges</w:t>
            </w:r>
          </w:p>
        </w:tc>
        <w:tc>
          <w:tcPr>
            <w:tcW w:type="dxa" w:w="6910"/>
          </w:tcPr>
          <w:p>
            <w:pPr>
              <w:spacing w:before="0" w:after="0" w:line="259" w:lineRule="auto"/>
              <w:jc w:val="left"/>
            </w:pPr>
            <w:r/>
            <w:r>
              <w:rPr>
                <w:rFonts w:ascii="Calibri" w:hAnsi="Calibri"/>
                <w:b w:val="0"/>
                <w:color w:val="0B2545"/>
                <w:sz w:val="18"/>
              </w:rPr>
              <w:t>21,222,543 logical connections in the paper; 42,445,086 directed DGL entries with both directions stored.</w:t>
            </w:r>
          </w:p>
        </w:tc>
      </w:tr>
      <w:tr>
        <w:trPr>
          <w:cantSplit/>
        </w:trPr>
        <w:tc>
          <w:tcPr>
            <w:tcW w:type="dxa" w:w="2450"/>
            <w:shd w:fill="F2F4F7" w:val="clear"/>
          </w:tcPr>
          <w:p>
            <w:pPr>
              <w:spacing w:before="0" w:after="0" w:line="259" w:lineRule="auto"/>
              <w:jc w:val="left"/>
            </w:pPr>
            <w:r/>
            <w:r>
              <w:rPr>
                <w:rFonts w:ascii="Calibri" w:hAnsi="Calibri"/>
                <w:b w:val="0"/>
                <w:color w:val="0B2545"/>
                <w:sz w:val="18"/>
              </w:rPr>
              <w:t>Global heterophily</w:t>
            </w:r>
          </w:p>
        </w:tc>
        <w:tc>
          <w:tcPr>
            <w:tcW w:type="dxa" w:w="6910"/>
            <w:shd w:fill="F2F4F7" w:val="clear"/>
          </w:tcPr>
          <w:p>
            <w:pPr>
              <w:spacing w:before="0" w:after="0" w:line="259" w:lineRule="auto"/>
              <w:jc w:val="left"/>
            </w:pPr>
            <w:r/>
            <w:r>
              <w:rPr>
                <w:rFonts w:ascii="Calibri" w:hAnsi="Calibri"/>
                <w:b w:val="0"/>
                <w:color w:val="0B2545"/>
                <w:sz w:val="18"/>
              </w:rPr>
              <w:t>1,240,480 / 42,445,086 = 2.9226% (unchanged if both numerator and denominator are deduplicated consistently).</w:t>
            </w:r>
          </w:p>
        </w:tc>
      </w:tr>
      <w:tr>
        <w:trPr>
          <w:cantSplit/>
        </w:trPr>
        <w:tc>
          <w:tcPr>
            <w:tcW w:type="dxa" w:w="2450"/>
          </w:tcPr>
          <w:p>
            <w:pPr>
              <w:spacing w:before="0" w:after="0" w:line="259" w:lineRule="auto"/>
              <w:jc w:val="left"/>
            </w:pPr>
            <w:r/>
            <w:r>
              <w:rPr>
                <w:rFonts w:ascii="Calibri" w:hAnsi="Calibri"/>
                <w:b w:val="0"/>
                <w:color w:val="0B2545"/>
                <w:sz w:val="18"/>
              </w:rPr>
              <w:t>Fraud-node local heterophily</w:t>
            </w:r>
          </w:p>
        </w:tc>
        <w:tc>
          <w:tcPr>
            <w:tcW w:type="dxa" w:w="6910"/>
          </w:tcPr>
          <w:p>
            <w:pPr>
              <w:spacing w:before="0" w:after="0" w:line="259" w:lineRule="auto"/>
              <w:jc w:val="left"/>
            </w:pPr>
            <w:r/>
            <w:r>
              <w:rPr>
                <w:rFonts w:ascii="Calibri" w:hAnsi="Calibri"/>
                <w:b w:val="0"/>
                <w:color w:val="0B2545"/>
                <w:sz w:val="18"/>
              </w:rPr>
              <w:t>Mean 45.6551%; median 37.1875%; standard deviation 29.3974%.</w:t>
            </w:r>
          </w:p>
        </w:tc>
      </w:tr>
      <w:tr>
        <w:trPr>
          <w:cantSplit/>
        </w:trPr>
        <w:tc>
          <w:tcPr>
            <w:tcW w:type="dxa" w:w="2450"/>
            <w:shd w:fill="F2F4F7" w:val="clear"/>
          </w:tcPr>
          <w:p>
            <w:pPr>
              <w:spacing w:before="0" w:after="0" w:line="259" w:lineRule="auto"/>
              <w:jc w:val="left"/>
            </w:pPr>
            <w:r/>
            <w:r>
              <w:rPr>
                <w:rFonts w:ascii="Calibri" w:hAnsi="Calibri"/>
                <w:b w:val="0"/>
                <w:color w:val="0B2545"/>
                <w:sz w:val="18"/>
              </w:rPr>
              <w:t>All-node local heterophily</w:t>
            </w:r>
          </w:p>
        </w:tc>
        <w:tc>
          <w:tcPr>
            <w:tcW w:type="dxa" w:w="6910"/>
            <w:shd w:fill="F2F4F7" w:val="clear"/>
          </w:tcPr>
          <w:p>
            <w:pPr>
              <w:spacing w:before="0" w:after="0" w:line="259" w:lineRule="auto"/>
              <w:jc w:val="left"/>
            </w:pPr>
            <w:r/>
            <w:r>
              <w:rPr>
                <w:rFonts w:ascii="Calibri" w:hAnsi="Calibri"/>
                <w:b w:val="0"/>
                <w:color w:val="0B2545"/>
                <w:sz w:val="18"/>
              </w:rPr>
              <w:t>Mean 4.3382%; median 0.8368%; standard deviation 12.3750% (supplementary).</w:t>
            </w:r>
          </w:p>
        </w:tc>
      </w:tr>
      <w:tr>
        <w:trPr>
          <w:cantSplit/>
        </w:trPr>
        <w:tc>
          <w:tcPr>
            <w:tcW w:type="dxa" w:w="2450"/>
          </w:tcPr>
          <w:p>
            <w:pPr>
              <w:spacing w:before="0" w:after="0" w:line="259" w:lineRule="auto"/>
              <w:jc w:val="left"/>
            </w:pPr>
            <w:r/>
            <w:r>
              <w:rPr>
                <w:rFonts w:ascii="Calibri" w:hAnsi="Calibri"/>
                <w:b w:val="0"/>
                <w:color w:val="0B2545"/>
                <w:sz w:val="18"/>
              </w:rPr>
              <w:t>Original repository splits</w:t>
            </w:r>
          </w:p>
        </w:tc>
        <w:tc>
          <w:tcPr>
            <w:tcW w:type="dxa" w:w="6910"/>
          </w:tcPr>
          <w:p>
            <w:pPr>
              <w:spacing w:before="0" w:after="0" w:line="259" w:lineRule="auto"/>
              <w:jc w:val="left"/>
            </w:pPr>
            <w:r/>
            <w:r>
              <w:rPr>
                <w:rFonts w:ascii="Calibri" w:hAnsi="Calibri"/>
                <w:b w:val="0"/>
                <w:color w:val="0B2545"/>
                <w:sz w:val="18"/>
              </w:rPr>
              <w:t>No masks stored; runtime stratified random split with seed 2. Record both author settings: 40% training and 1% training.</w:t>
            </w:r>
          </w:p>
        </w:tc>
      </w:tr>
    </w:tbl>
    <w:p>
      <w:pPr>
        <w:spacing w:after="0"/>
      </w:pPr>
    </w:p>
    <w:p>
      <w:pPr>
        <w:pStyle w:val="Heading1"/>
      </w:pPr>
      <w:r>
        <w:t>6. Compatibility before benchmarking</w:t>
      </w:r>
    </w:p>
    <w:p>
      <w:r>
        <w:rPr>
          <w:b/>
        </w:rPr>
        <w:t xml:space="preserve">Do not force all 8 x 6 combinations. </w:t>
      </w:r>
      <w:r>
        <w:t>First classify every pair as native, input-adapter candidate, conditional, or not eligible. A direct ranking requires at least two models on the same dataset and experimental condition.</w:t>
      </w:r>
    </w:p>
    <w:tbl>
      <w:tblPr>
        <w:tblStyle w:val="TableGrid"/>
        <w:tblW w:type="dxa" w:w="9360"/>
        <w:jc w:val="left"/>
        <w:tblLayout w:type="fixed"/>
        <w:tblLook w:firstColumn="1" w:firstRow="1" w:lastColumn="0" w:lastRow="0" w:noHBand="0" w:noVBand="1" w:val="04A0"/>
        <w:tblInd w:w="120" w:type="dxa"/>
      </w:tblPr>
      <w:tblGrid>
        <w:gridCol w:w="1900"/>
        <w:gridCol w:w="1000"/>
        <w:gridCol w:w="1120"/>
        <w:gridCol w:w="1120"/>
        <w:gridCol w:w="1120"/>
        <w:gridCol w:w="1450"/>
        <w:gridCol w:w="1650"/>
      </w:tblGrid>
      <w:tr>
        <w:trPr>
          <w:tblHeader w:val="true"/>
          <w:cantSplit/>
        </w:trPr>
        <w:tc>
          <w:tcPr>
            <w:tcW w:type="dxa" w:w="19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Model</w:t>
            </w:r>
          </w:p>
        </w:tc>
        <w:tc>
          <w:tcPr>
            <w:tcW w:type="dxa" w:w="10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Yelp</w:t>
            </w:r>
          </w:p>
        </w:tc>
        <w:tc>
          <w:tcPr>
            <w:tcW w:type="dxa" w:w="112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Amazon</w:t>
            </w:r>
          </w:p>
        </w:tc>
        <w:tc>
          <w:tcPr>
            <w:tcW w:type="dxa" w:w="112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T-Fin.</w:t>
            </w:r>
          </w:p>
        </w:tc>
        <w:tc>
          <w:tcPr>
            <w:tcW w:type="dxa" w:w="112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T-Soc.</w:t>
            </w:r>
          </w:p>
        </w:tc>
        <w:tc>
          <w:tcPr>
            <w:tcW w:type="dxa" w:w="14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Elliptic</w:t>
            </w:r>
          </w:p>
        </w:tc>
        <w:tc>
          <w:tcPr>
            <w:tcW w:type="dxa" w:w="16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FDCompCN</w:t>
            </w:r>
          </w:p>
        </w:tc>
      </w:tr>
      <w:tr>
        <w:trPr>
          <w:cantSplit/>
        </w:trPr>
        <w:tc>
          <w:tcPr>
            <w:tcW w:type="dxa" w:w="1900"/>
          </w:tcPr>
          <w:p>
            <w:pPr>
              <w:spacing w:before="0" w:after="0" w:line="259" w:lineRule="auto"/>
              <w:jc w:val="center"/>
            </w:pPr>
            <w:r/>
            <w:r>
              <w:rPr>
                <w:rFonts w:ascii="Calibri" w:hAnsi="Calibri"/>
                <w:b w:val="0"/>
                <w:color w:val="0B2545"/>
                <w:sz w:val="16"/>
              </w:rPr>
              <w:t>CARE-GNN</w:t>
            </w:r>
          </w:p>
        </w:tc>
        <w:tc>
          <w:tcPr>
            <w:tcW w:type="dxa" w:w="100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A</w:t>
            </w:r>
          </w:p>
        </w:tc>
        <w:tc>
          <w:tcPr>
            <w:tcW w:type="dxa" w:w="1120"/>
          </w:tcPr>
          <w:p>
            <w:pPr>
              <w:spacing w:before="0" w:after="0" w:line="259" w:lineRule="auto"/>
              <w:jc w:val="left"/>
            </w:pPr>
            <w:r/>
            <w:r>
              <w:rPr>
                <w:rFonts w:ascii="Calibri" w:hAnsi="Calibri"/>
                <w:b w:val="0"/>
                <w:color w:val="0B2545"/>
                <w:sz w:val="16"/>
              </w:rPr>
              <w:t>A</w:t>
            </w:r>
          </w:p>
        </w:tc>
        <w:tc>
          <w:tcPr>
            <w:tcW w:type="dxa" w:w="1450"/>
          </w:tcPr>
          <w:p>
            <w:pPr>
              <w:spacing w:before="0" w:after="0" w:line="259" w:lineRule="auto"/>
              <w:jc w:val="left"/>
            </w:pPr>
            <w:r/>
            <w:r>
              <w:rPr>
                <w:rFonts w:ascii="Calibri" w:hAnsi="Calibri"/>
                <w:b w:val="0"/>
                <w:color w:val="0B2545"/>
                <w:sz w:val="16"/>
              </w:rPr>
              <w:t>A</w:t>
            </w:r>
          </w:p>
        </w:tc>
        <w:tc>
          <w:tcPr>
            <w:tcW w:type="dxa" w:w="1650"/>
          </w:tcPr>
          <w:p>
            <w:pPr>
              <w:spacing w:before="0" w:after="0" w:line="259" w:lineRule="auto"/>
              <w:jc w:val="left"/>
            </w:pPr>
            <w:r/>
            <w:r>
              <w:rPr>
                <w:rFonts w:ascii="Calibri" w:hAnsi="Calibri"/>
                <w:b w:val="0"/>
                <w:color w:val="0B2545"/>
                <w:sz w:val="16"/>
              </w:rPr>
              <w:t>A</w:t>
            </w:r>
          </w:p>
        </w:tc>
      </w:tr>
      <w:tr>
        <w:trPr>
          <w:cantSplit/>
        </w:trPr>
        <w:tc>
          <w:tcPr>
            <w:tcW w:type="dxa" w:w="1900"/>
            <w:shd w:fill="F2F4F7" w:val="clear"/>
          </w:tcPr>
          <w:p>
            <w:pPr>
              <w:spacing w:before="0" w:after="0" w:line="259" w:lineRule="auto"/>
              <w:jc w:val="center"/>
            </w:pPr>
            <w:r/>
            <w:r>
              <w:rPr>
                <w:rFonts w:ascii="Calibri" w:hAnsi="Calibri"/>
                <w:b w:val="0"/>
                <w:color w:val="0B2545"/>
                <w:sz w:val="16"/>
              </w:rPr>
              <w:t>FRAUDRE</w:t>
            </w:r>
          </w:p>
        </w:tc>
        <w:tc>
          <w:tcPr>
            <w:tcW w:type="dxa" w:w="100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A</w:t>
            </w:r>
          </w:p>
        </w:tc>
        <w:tc>
          <w:tcPr>
            <w:tcW w:type="dxa" w:w="1120"/>
            <w:shd w:fill="F2F4F7" w:val="clear"/>
          </w:tcPr>
          <w:p>
            <w:pPr>
              <w:spacing w:before="0" w:after="0" w:line="259" w:lineRule="auto"/>
              <w:jc w:val="left"/>
            </w:pPr>
            <w:r/>
            <w:r>
              <w:rPr>
                <w:rFonts w:ascii="Calibri" w:hAnsi="Calibri"/>
                <w:b w:val="0"/>
                <w:color w:val="0B2545"/>
                <w:sz w:val="16"/>
              </w:rPr>
              <w:t>A</w:t>
            </w:r>
          </w:p>
        </w:tc>
        <w:tc>
          <w:tcPr>
            <w:tcW w:type="dxa" w:w="1450"/>
            <w:shd w:fill="F2F4F7" w:val="clear"/>
          </w:tcPr>
          <w:p>
            <w:pPr>
              <w:spacing w:before="0" w:after="0" w:line="259" w:lineRule="auto"/>
              <w:jc w:val="left"/>
            </w:pPr>
            <w:r/>
            <w:r>
              <w:rPr>
                <w:rFonts w:ascii="Calibri" w:hAnsi="Calibri"/>
                <w:b w:val="0"/>
                <w:color w:val="0B2545"/>
                <w:sz w:val="16"/>
              </w:rPr>
              <w:t>A</w:t>
            </w:r>
          </w:p>
        </w:tc>
        <w:tc>
          <w:tcPr>
            <w:tcW w:type="dxa" w:w="1650"/>
            <w:shd w:fill="F2F4F7" w:val="clear"/>
          </w:tcPr>
          <w:p>
            <w:pPr>
              <w:spacing w:before="0" w:after="0" w:line="259" w:lineRule="auto"/>
              <w:jc w:val="left"/>
            </w:pPr>
            <w:r/>
            <w:r>
              <w:rPr>
                <w:rFonts w:ascii="Calibri" w:hAnsi="Calibri"/>
                <w:b w:val="0"/>
                <w:color w:val="0B2545"/>
                <w:sz w:val="16"/>
              </w:rPr>
              <w:t>A</w:t>
            </w:r>
          </w:p>
        </w:tc>
      </w:tr>
      <w:tr>
        <w:trPr>
          <w:cantSplit/>
        </w:trPr>
        <w:tc>
          <w:tcPr>
            <w:tcW w:type="dxa" w:w="1900"/>
          </w:tcPr>
          <w:p>
            <w:pPr>
              <w:spacing w:before="0" w:after="0" w:line="259" w:lineRule="auto"/>
              <w:jc w:val="center"/>
            </w:pPr>
            <w:r/>
            <w:r>
              <w:rPr>
                <w:rFonts w:ascii="Calibri" w:hAnsi="Calibri"/>
                <w:b w:val="0"/>
                <w:color w:val="0B2545"/>
                <w:sz w:val="16"/>
              </w:rPr>
              <w:t>PC-GNN</w:t>
            </w:r>
          </w:p>
        </w:tc>
        <w:tc>
          <w:tcPr>
            <w:tcW w:type="dxa" w:w="100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A</w:t>
            </w:r>
          </w:p>
        </w:tc>
        <w:tc>
          <w:tcPr>
            <w:tcW w:type="dxa" w:w="1120"/>
          </w:tcPr>
          <w:p>
            <w:pPr>
              <w:spacing w:before="0" w:after="0" w:line="259" w:lineRule="auto"/>
              <w:jc w:val="left"/>
            </w:pPr>
            <w:r/>
            <w:r>
              <w:rPr>
                <w:rFonts w:ascii="Calibri" w:hAnsi="Calibri"/>
                <w:b w:val="0"/>
                <w:color w:val="0B2545"/>
                <w:sz w:val="16"/>
              </w:rPr>
              <w:t>A</w:t>
            </w:r>
          </w:p>
        </w:tc>
        <w:tc>
          <w:tcPr>
            <w:tcW w:type="dxa" w:w="1450"/>
          </w:tcPr>
          <w:p>
            <w:pPr>
              <w:spacing w:before="0" w:after="0" w:line="259" w:lineRule="auto"/>
              <w:jc w:val="left"/>
            </w:pPr>
            <w:r/>
            <w:r>
              <w:rPr>
                <w:rFonts w:ascii="Calibri" w:hAnsi="Calibri"/>
                <w:b w:val="0"/>
                <w:color w:val="0B2545"/>
                <w:sz w:val="16"/>
              </w:rPr>
              <w:t>A</w:t>
            </w:r>
          </w:p>
        </w:tc>
        <w:tc>
          <w:tcPr>
            <w:tcW w:type="dxa" w:w="1650"/>
          </w:tcPr>
          <w:p>
            <w:pPr>
              <w:spacing w:before="0" w:after="0" w:line="259" w:lineRule="auto"/>
              <w:jc w:val="left"/>
            </w:pPr>
            <w:r/>
            <w:r>
              <w:rPr>
                <w:rFonts w:ascii="Calibri" w:hAnsi="Calibri"/>
                <w:b w:val="0"/>
                <w:color w:val="0B2545"/>
                <w:sz w:val="16"/>
              </w:rPr>
              <w:t>A</w:t>
            </w:r>
          </w:p>
        </w:tc>
      </w:tr>
      <w:tr>
        <w:trPr>
          <w:cantSplit/>
        </w:trPr>
        <w:tc>
          <w:tcPr>
            <w:tcW w:type="dxa" w:w="1900"/>
            <w:shd w:fill="F2F4F7" w:val="clear"/>
          </w:tcPr>
          <w:p>
            <w:pPr>
              <w:spacing w:before="0" w:after="0" w:line="259" w:lineRule="auto"/>
              <w:jc w:val="center"/>
            </w:pPr>
            <w:r/>
            <w:r>
              <w:rPr>
                <w:rFonts w:ascii="Calibri" w:hAnsi="Calibri"/>
                <w:b w:val="0"/>
                <w:color w:val="0B2545"/>
                <w:sz w:val="16"/>
              </w:rPr>
              <w:t>BWGNN</w:t>
            </w:r>
          </w:p>
        </w:tc>
        <w:tc>
          <w:tcPr>
            <w:tcW w:type="dxa" w:w="100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450"/>
            <w:shd w:fill="F2F4F7" w:val="clear"/>
          </w:tcPr>
          <w:p>
            <w:pPr>
              <w:spacing w:before="0" w:after="0" w:line="259" w:lineRule="auto"/>
              <w:jc w:val="left"/>
            </w:pPr>
            <w:r/>
            <w:r>
              <w:rPr>
                <w:rFonts w:ascii="Calibri" w:hAnsi="Calibri"/>
                <w:b w:val="0"/>
                <w:color w:val="0B2545"/>
                <w:sz w:val="16"/>
              </w:rPr>
              <w:t>A</w:t>
            </w:r>
          </w:p>
        </w:tc>
        <w:tc>
          <w:tcPr>
            <w:tcW w:type="dxa" w:w="1650"/>
            <w:shd w:fill="F2F4F7" w:val="clear"/>
          </w:tcPr>
          <w:p>
            <w:pPr>
              <w:spacing w:before="0" w:after="0" w:line="259" w:lineRule="auto"/>
              <w:jc w:val="left"/>
            </w:pPr>
            <w:r/>
            <w:r>
              <w:rPr>
                <w:rFonts w:ascii="Calibri" w:hAnsi="Calibri"/>
                <w:b w:val="0"/>
                <w:color w:val="0B2545"/>
                <w:sz w:val="16"/>
              </w:rPr>
              <w:t>A</w:t>
            </w:r>
          </w:p>
        </w:tc>
      </w:tr>
      <w:tr>
        <w:trPr>
          <w:cantSplit/>
        </w:trPr>
        <w:tc>
          <w:tcPr>
            <w:tcW w:type="dxa" w:w="1900"/>
          </w:tcPr>
          <w:p>
            <w:pPr>
              <w:spacing w:before="0" w:after="0" w:line="259" w:lineRule="auto"/>
              <w:jc w:val="center"/>
            </w:pPr>
            <w:r/>
            <w:r>
              <w:rPr>
                <w:rFonts w:ascii="Calibri" w:hAnsi="Calibri"/>
                <w:b w:val="0"/>
                <w:color w:val="0B2545"/>
                <w:sz w:val="16"/>
              </w:rPr>
              <w:t>GHRN</w:t>
            </w:r>
          </w:p>
        </w:tc>
        <w:tc>
          <w:tcPr>
            <w:tcW w:type="dxa" w:w="100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450"/>
          </w:tcPr>
          <w:p>
            <w:pPr>
              <w:spacing w:before="0" w:after="0" w:line="259" w:lineRule="auto"/>
              <w:jc w:val="left"/>
            </w:pPr>
            <w:r/>
            <w:r>
              <w:rPr>
                <w:rFonts w:ascii="Calibri" w:hAnsi="Calibri"/>
                <w:b w:val="0"/>
                <w:color w:val="0B2545"/>
                <w:sz w:val="16"/>
              </w:rPr>
              <w:t>A</w:t>
            </w:r>
          </w:p>
        </w:tc>
        <w:tc>
          <w:tcPr>
            <w:tcW w:type="dxa" w:w="1650"/>
          </w:tcPr>
          <w:p>
            <w:pPr>
              <w:spacing w:before="0" w:after="0" w:line="259" w:lineRule="auto"/>
              <w:jc w:val="left"/>
            </w:pPr>
            <w:r/>
            <w:r>
              <w:rPr>
                <w:rFonts w:ascii="Calibri" w:hAnsi="Calibri"/>
                <w:b w:val="0"/>
                <w:color w:val="0B2545"/>
                <w:sz w:val="16"/>
              </w:rPr>
              <w:t>A</w:t>
            </w:r>
          </w:p>
        </w:tc>
      </w:tr>
      <w:tr>
        <w:trPr>
          <w:cantSplit/>
        </w:trPr>
        <w:tc>
          <w:tcPr>
            <w:tcW w:type="dxa" w:w="1900"/>
            <w:shd w:fill="F2F4F7" w:val="clear"/>
          </w:tcPr>
          <w:p>
            <w:pPr>
              <w:spacing w:before="0" w:after="0" w:line="259" w:lineRule="auto"/>
              <w:jc w:val="center"/>
            </w:pPr>
            <w:r/>
            <w:r>
              <w:rPr>
                <w:rFonts w:ascii="Calibri" w:hAnsi="Calibri"/>
                <w:b w:val="0"/>
                <w:color w:val="0B2545"/>
                <w:sz w:val="16"/>
              </w:rPr>
              <w:t>SplitGNN</w:t>
            </w:r>
          </w:p>
        </w:tc>
        <w:tc>
          <w:tcPr>
            <w:tcW w:type="dxa" w:w="100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A</w:t>
            </w:r>
          </w:p>
        </w:tc>
        <w:tc>
          <w:tcPr>
            <w:tcW w:type="dxa" w:w="1120"/>
            <w:shd w:fill="F2F4F7" w:val="clear"/>
          </w:tcPr>
          <w:p>
            <w:pPr>
              <w:spacing w:before="0" w:after="0" w:line="259" w:lineRule="auto"/>
              <w:jc w:val="left"/>
            </w:pPr>
            <w:r/>
            <w:r>
              <w:rPr>
                <w:rFonts w:ascii="Calibri" w:hAnsi="Calibri"/>
                <w:b w:val="0"/>
                <w:color w:val="0B2545"/>
                <w:sz w:val="16"/>
              </w:rPr>
              <w:t>A</w:t>
            </w:r>
          </w:p>
        </w:tc>
        <w:tc>
          <w:tcPr>
            <w:tcW w:type="dxa" w:w="1450"/>
            <w:shd w:fill="F2F4F7" w:val="clear"/>
          </w:tcPr>
          <w:p>
            <w:pPr>
              <w:spacing w:before="0" w:after="0" w:line="259" w:lineRule="auto"/>
              <w:jc w:val="left"/>
            </w:pPr>
            <w:r/>
            <w:r>
              <w:rPr>
                <w:rFonts w:ascii="Calibri" w:hAnsi="Calibri"/>
                <w:b w:val="0"/>
                <w:color w:val="0B2545"/>
                <w:sz w:val="16"/>
              </w:rPr>
              <w:t>A</w:t>
            </w:r>
          </w:p>
        </w:tc>
        <w:tc>
          <w:tcPr>
            <w:tcW w:type="dxa" w:w="1650"/>
            <w:shd w:fill="F2F4F7" w:val="clear"/>
          </w:tcPr>
          <w:p>
            <w:pPr>
              <w:spacing w:before="0" w:after="0" w:line="259" w:lineRule="auto"/>
              <w:jc w:val="left"/>
            </w:pPr>
            <w:r/>
            <w:r>
              <w:rPr>
                <w:rFonts w:ascii="Calibri" w:hAnsi="Calibri"/>
                <w:b w:val="0"/>
                <w:color w:val="0B2545"/>
                <w:sz w:val="16"/>
              </w:rPr>
              <w:t>N</w:t>
            </w:r>
          </w:p>
        </w:tc>
      </w:tr>
      <w:tr>
        <w:trPr>
          <w:cantSplit/>
        </w:trPr>
        <w:tc>
          <w:tcPr>
            <w:tcW w:type="dxa" w:w="1900"/>
          </w:tcPr>
          <w:p>
            <w:pPr>
              <w:spacing w:before="0" w:after="0" w:line="259" w:lineRule="auto"/>
              <w:jc w:val="center"/>
            </w:pPr>
            <w:r/>
            <w:r>
              <w:rPr>
                <w:rFonts w:ascii="Calibri" w:hAnsi="Calibri"/>
                <w:b w:val="0"/>
                <w:color w:val="0B2545"/>
                <w:sz w:val="16"/>
              </w:rPr>
              <w:t>PMP</w:t>
            </w:r>
          </w:p>
        </w:tc>
        <w:tc>
          <w:tcPr>
            <w:tcW w:type="dxa" w:w="100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N</w:t>
            </w:r>
          </w:p>
        </w:tc>
        <w:tc>
          <w:tcPr>
            <w:tcW w:type="dxa" w:w="1120"/>
          </w:tcPr>
          <w:p>
            <w:pPr>
              <w:spacing w:before="0" w:after="0" w:line="259" w:lineRule="auto"/>
              <w:jc w:val="left"/>
            </w:pPr>
            <w:r/>
            <w:r>
              <w:rPr>
                <w:rFonts w:ascii="Calibri" w:hAnsi="Calibri"/>
                <w:b w:val="0"/>
                <w:color w:val="0B2545"/>
                <w:sz w:val="16"/>
              </w:rPr>
              <w:t>V</w:t>
            </w:r>
          </w:p>
        </w:tc>
        <w:tc>
          <w:tcPr>
            <w:tcW w:type="dxa" w:w="1450"/>
          </w:tcPr>
          <w:p>
            <w:pPr>
              <w:spacing w:before="0" w:after="0" w:line="259" w:lineRule="auto"/>
              <w:jc w:val="left"/>
            </w:pPr>
            <w:r/>
            <w:r>
              <w:rPr>
                <w:rFonts w:ascii="Calibri" w:hAnsi="Calibri"/>
                <w:b w:val="0"/>
                <w:color w:val="0B2545"/>
                <w:sz w:val="16"/>
              </w:rPr>
              <w:t>A</w:t>
            </w:r>
          </w:p>
        </w:tc>
        <w:tc>
          <w:tcPr>
            <w:tcW w:type="dxa" w:w="1650"/>
          </w:tcPr>
          <w:p>
            <w:pPr>
              <w:spacing w:before="0" w:after="0" w:line="259" w:lineRule="auto"/>
              <w:jc w:val="left"/>
            </w:pPr>
            <w:r/>
            <w:r>
              <w:rPr>
                <w:rFonts w:ascii="Calibri" w:hAnsi="Calibri"/>
                <w:b w:val="0"/>
                <w:color w:val="0B2545"/>
                <w:sz w:val="16"/>
              </w:rPr>
              <w:t>A</w:t>
            </w:r>
          </w:p>
        </w:tc>
      </w:tr>
      <w:tr>
        <w:trPr>
          <w:cantSplit/>
        </w:trPr>
        <w:tc>
          <w:tcPr>
            <w:tcW w:type="dxa" w:w="1900"/>
            <w:shd w:fill="F2F4F7" w:val="clear"/>
          </w:tcPr>
          <w:p>
            <w:pPr>
              <w:spacing w:before="0" w:after="0" w:line="259" w:lineRule="auto"/>
              <w:jc w:val="center"/>
            </w:pPr>
            <w:r/>
            <w:r>
              <w:rPr>
                <w:rFonts w:ascii="Calibri" w:hAnsi="Calibri"/>
                <w:b w:val="0"/>
                <w:color w:val="0B2545"/>
                <w:sz w:val="16"/>
              </w:rPr>
              <w:t>DGA-GNN</w:t>
            </w:r>
          </w:p>
        </w:tc>
        <w:tc>
          <w:tcPr>
            <w:tcW w:type="dxa" w:w="100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120"/>
            <w:shd w:fill="F2F4F7" w:val="clear"/>
          </w:tcPr>
          <w:p>
            <w:pPr>
              <w:spacing w:before="0" w:after="0" w:line="259" w:lineRule="auto"/>
              <w:jc w:val="left"/>
            </w:pPr>
            <w:r/>
            <w:r>
              <w:rPr>
                <w:rFonts w:ascii="Calibri" w:hAnsi="Calibri"/>
                <w:b w:val="0"/>
                <w:color w:val="0B2545"/>
                <w:sz w:val="16"/>
              </w:rPr>
              <w:t>N</w:t>
            </w:r>
          </w:p>
        </w:tc>
        <w:tc>
          <w:tcPr>
            <w:tcW w:type="dxa" w:w="1450"/>
            <w:shd w:fill="F2F4F7" w:val="clear"/>
          </w:tcPr>
          <w:p>
            <w:pPr>
              <w:spacing w:before="0" w:after="0" w:line="259" w:lineRule="auto"/>
              <w:jc w:val="left"/>
            </w:pPr>
            <w:r/>
            <w:r>
              <w:rPr>
                <w:rFonts w:ascii="Calibri" w:hAnsi="Calibri"/>
                <w:b w:val="0"/>
                <w:color w:val="0B2545"/>
                <w:sz w:val="16"/>
              </w:rPr>
              <w:t>N</w:t>
            </w:r>
          </w:p>
        </w:tc>
        <w:tc>
          <w:tcPr>
            <w:tcW w:type="dxa" w:w="1650"/>
            <w:shd w:fill="F2F4F7" w:val="clear"/>
          </w:tcPr>
          <w:p>
            <w:pPr>
              <w:spacing w:before="0" w:after="0" w:line="259" w:lineRule="auto"/>
              <w:jc w:val="left"/>
            </w:pPr>
            <w:r/>
            <w:r>
              <w:rPr>
                <w:rFonts w:ascii="Calibri" w:hAnsi="Calibri"/>
                <w:b w:val="0"/>
                <w:color w:val="0B2545"/>
                <w:sz w:val="16"/>
              </w:rPr>
              <w:t>A</w:t>
            </w:r>
          </w:p>
        </w:tc>
      </w:tr>
    </w:tbl>
    <w:p>
      <w:pPr>
        <w:spacing w:after="0"/>
      </w:pPr>
    </w:p>
    <w:p>
      <w:r>
        <w:rPr>
          <w:rFonts w:ascii="Calibri" w:hAnsi="Calibri"/>
          <w:b/>
          <w:color w:val="0B2545"/>
          <w:sz w:val="22"/>
        </w:rPr>
        <w:t xml:space="preserve">Legend: </w:t>
      </w:r>
      <w:r>
        <w:rPr>
          <w:rFonts w:ascii="Calibri" w:hAnsi="Calibri"/>
          <w:color w:val="0B2545"/>
          <w:sz w:val="22"/>
        </w:rPr>
        <w:t>N = native repository path; A = adapter feasibility must be tested; V = repository mentions the data but the documented CLI path needs verification.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6" w:val="clear"/>
          </w:tcPr>
          <w:p>
            <w:pPr>
              <w:spacing w:after="0"/>
            </w:pPr>
            <w:r>
              <w:rPr>
                <w:rFonts w:ascii="Calibri" w:hAnsi="Calibri"/>
                <w:b/>
                <w:color w:val="1F4D78"/>
                <w:sz w:val="21"/>
              </w:rPr>
              <w:t xml:space="preserve">Necessary coverage check: </w:t>
            </w:r>
            <w:r>
              <w:rPr>
                <w:rFonts w:ascii="Calibri" w:hAnsi="Calibri"/>
                <w:color w:val="0B2545"/>
                <w:sz w:val="21"/>
              </w:rPr>
              <w:t>Elliptic currently has one native selected model (DGA-GNN), and FDCompCN has one (SplitGNN). Before publishing dataset-level rankings, adapt at least one additional eligible model to each. If that fails without architecture changes, report the dataset as a compatibility case study rather than a ranked comparison.</w:t>
            </w:r>
          </w:p>
        </w:tc>
      </w:tr>
    </w:tbl>
    <w:p>
      <w:pPr>
        <w:spacing w:after="0"/>
      </w:pPr>
    </w:p>
    <w:p>
      <w:pPr>
        <w:pStyle w:val="Heading1"/>
      </w:pPr>
      <w:r>
        <w:t>7. Two-phase experimental protocol</w:t>
      </w:r>
    </w:p>
    <w:tbl>
      <w:tblPr>
        <w:tblStyle w:val="TableGrid"/>
        <w:tblW w:type="dxa" w:w="9360"/>
        <w:jc w:val="left"/>
        <w:tblLayout w:type="fixed"/>
        <w:tblLook w:firstColumn="1" w:firstRow="1" w:lastColumn="0" w:lastRow="0" w:noHBand="0" w:noVBand="1" w:val="04A0"/>
        <w:tblInd w:w="120" w:type="dxa"/>
      </w:tblPr>
      <w:tblGrid>
        <w:gridCol w:w="1700"/>
        <w:gridCol w:w="2450"/>
        <w:gridCol w:w="3410"/>
        <w:gridCol w:w="1800"/>
      </w:tblGrid>
      <w:tr>
        <w:trPr>
          <w:tblHeader w:val="true"/>
          <w:cantSplit/>
        </w:trPr>
        <w:tc>
          <w:tcPr>
            <w:tcW w:type="dxa" w:w="170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Phase</w:t>
            </w:r>
          </w:p>
        </w:tc>
        <w:tc>
          <w:tcPr>
            <w:tcW w:type="dxa" w:w="245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Purpose</w:t>
            </w:r>
          </w:p>
        </w:tc>
        <w:tc>
          <w:tcPr>
            <w:tcW w:type="dxa" w:w="341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Rules</w:t>
            </w:r>
          </w:p>
        </w:tc>
        <w:tc>
          <w:tcPr>
            <w:tcW w:type="dxa" w:w="180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Output label</w:t>
            </w:r>
          </w:p>
        </w:tc>
      </w:tr>
      <w:tr>
        <w:trPr>
          <w:cantSplit/>
        </w:trPr>
        <w:tc>
          <w:tcPr>
            <w:tcW w:type="dxa" w:w="1700"/>
          </w:tcPr>
          <w:p>
            <w:pPr>
              <w:spacing w:before="0" w:after="0" w:line="259" w:lineRule="auto"/>
              <w:jc w:val="center"/>
            </w:pPr>
            <w:r/>
            <w:r>
              <w:rPr>
                <w:rFonts w:ascii="Calibri" w:hAnsi="Calibri"/>
                <w:b w:val="0"/>
                <w:color w:val="0B2545"/>
                <w:sz w:val="17"/>
              </w:rPr>
              <w:t>A. Author reproduction</w:t>
            </w:r>
          </w:p>
        </w:tc>
        <w:tc>
          <w:tcPr>
            <w:tcW w:type="dxa" w:w="2450"/>
          </w:tcPr>
          <w:p>
            <w:pPr>
              <w:spacing w:before="0" w:after="0" w:line="259" w:lineRule="auto"/>
              <w:jc w:val="left"/>
            </w:pPr>
            <w:r/>
            <w:r>
              <w:rPr>
                <w:rFonts w:ascii="Calibri" w:hAnsi="Calibri"/>
                <w:b w:val="0"/>
                <w:color w:val="0B2545"/>
                <w:sz w:val="17"/>
              </w:rPr>
              <w:t>Check whether the released implementation reproduces the paper/repository result.</w:t>
            </w:r>
          </w:p>
        </w:tc>
        <w:tc>
          <w:tcPr>
            <w:tcW w:type="dxa" w:w="3410"/>
          </w:tcPr>
          <w:p>
            <w:pPr>
              <w:spacing w:before="0" w:after="0" w:line="259" w:lineRule="auto"/>
              <w:jc w:val="left"/>
            </w:pPr>
            <w:r/>
            <w:r>
              <w:rPr>
                <w:rFonts w:ascii="Calibri" w:hAnsi="Calibri"/>
                <w:b w:val="0"/>
                <w:color w:val="0B2545"/>
                <w:sz w:val="17"/>
              </w:rPr>
              <w:t>Use author dataset, preprocessing, split, optimizer and hyperparameters. Record every discrepancy and any minimal compatibility edit.</w:t>
            </w:r>
          </w:p>
        </w:tc>
        <w:tc>
          <w:tcPr>
            <w:tcW w:type="dxa" w:w="1800"/>
          </w:tcPr>
          <w:p>
            <w:pPr>
              <w:spacing w:before="0" w:after="0" w:line="259" w:lineRule="auto"/>
              <w:jc w:val="left"/>
            </w:pPr>
            <w:r/>
            <w:r>
              <w:rPr>
                <w:rFonts w:ascii="Calibri" w:hAnsi="Calibri"/>
                <w:b w:val="0"/>
                <w:color w:val="0B2545"/>
                <w:sz w:val="17"/>
              </w:rPr>
              <w:t>REPRODUCTION - never merge into the unified leaderboard.</w:t>
            </w:r>
          </w:p>
        </w:tc>
      </w:tr>
      <w:tr>
        <w:trPr>
          <w:cantSplit/>
        </w:trPr>
        <w:tc>
          <w:tcPr>
            <w:tcW w:type="dxa" w:w="1700"/>
            <w:shd w:fill="F2F4F7" w:val="clear"/>
          </w:tcPr>
          <w:p>
            <w:pPr>
              <w:spacing w:before="0" w:after="0" w:line="259" w:lineRule="auto"/>
              <w:jc w:val="center"/>
            </w:pPr>
            <w:r/>
            <w:r>
              <w:rPr>
                <w:rFonts w:ascii="Calibri" w:hAnsi="Calibri"/>
                <w:b w:val="0"/>
                <w:color w:val="0B2545"/>
                <w:sz w:val="17"/>
              </w:rPr>
              <w:t>B. Unified controlled run</w:t>
            </w:r>
          </w:p>
        </w:tc>
        <w:tc>
          <w:tcPr>
            <w:tcW w:type="dxa" w:w="2450"/>
            <w:shd w:fill="F2F4F7" w:val="clear"/>
          </w:tcPr>
          <w:p>
            <w:pPr>
              <w:spacing w:before="0" w:after="0" w:line="259" w:lineRule="auto"/>
              <w:jc w:val="left"/>
            </w:pPr>
            <w:r/>
            <w:r>
              <w:rPr>
                <w:rFonts w:ascii="Calibri" w:hAnsi="Calibri"/>
                <w:b w:val="0"/>
                <w:color w:val="0B2545"/>
                <w:sz w:val="17"/>
              </w:rPr>
              <w:t>Compare eligible models under the same dataset-specific conditions.</w:t>
            </w:r>
          </w:p>
        </w:tc>
        <w:tc>
          <w:tcPr>
            <w:tcW w:type="dxa" w:w="3410"/>
            <w:shd w:fill="F2F4F7" w:val="clear"/>
          </w:tcPr>
          <w:p>
            <w:pPr>
              <w:spacing w:before="0" w:after="0" w:line="259" w:lineRule="auto"/>
              <w:jc w:val="left"/>
            </w:pPr>
            <w:r/>
            <w:r>
              <w:rPr>
                <w:rFonts w:ascii="Calibri" w:hAnsi="Calibri"/>
                <w:b w:val="0"/>
                <w:color w:val="0B2545"/>
                <w:sz w:val="17"/>
              </w:rPr>
              <w:t>Use persistent node IDs, fixed validation/test, common metric code, common seed set, same controlled optimizer rule, same hardware and equal tuning budget.</w:t>
            </w:r>
          </w:p>
        </w:tc>
        <w:tc>
          <w:tcPr>
            <w:tcW w:type="dxa" w:w="1800"/>
            <w:shd w:fill="F2F4F7" w:val="clear"/>
          </w:tcPr>
          <w:p>
            <w:pPr>
              <w:spacing w:before="0" w:after="0" w:line="259" w:lineRule="auto"/>
              <w:jc w:val="left"/>
            </w:pPr>
            <w:r/>
            <w:r>
              <w:rPr>
                <w:rFonts w:ascii="Calibri" w:hAnsi="Calibri"/>
                <w:b w:val="0"/>
                <w:color w:val="0B2545"/>
                <w:sz w:val="17"/>
              </w:rPr>
              <w:t>UNIFIED - only rank models within the same dataset and condition.</w:t>
            </w:r>
          </w:p>
        </w:tc>
      </w:tr>
    </w:tbl>
    <w:p>
      <w:pPr>
        <w:spacing w:after="0"/>
      </w:pPr>
    </w:p>
    <w:p>
      <w:pPr>
        <w:pStyle w:val="Heading2"/>
      </w:pPr>
      <w:r>
        <w:t>Controlled labelled-training ratios</w:t>
      </w:r>
    </w:p>
    <w:tbl>
      <w:tblPr>
        <w:tblStyle w:val="TableGrid"/>
        <w:tblW w:type="dxa" w:w="9360"/>
        <w:jc w:val="left"/>
        <w:tblLayout w:type="fixed"/>
        <w:tblLook w:firstColumn="1" w:firstRow="1" w:lastColumn="0" w:lastRow="0" w:noHBand="0" w:noVBand="1" w:val="04A0"/>
        <w:tblInd w:w="120" w:type="dxa"/>
      </w:tblPr>
      <w:tblGrid>
        <w:gridCol w:w="1050"/>
        <w:gridCol w:w="1150"/>
        <w:gridCol w:w="1450"/>
        <w:gridCol w:w="1150"/>
        <w:gridCol w:w="1150"/>
        <w:gridCol w:w="3410"/>
      </w:tblGrid>
      <w:tr>
        <w:trPr>
          <w:tblHeader w:val="true"/>
          <w:cantSplit/>
        </w:trPr>
        <w:tc>
          <w:tcPr>
            <w:tcW w:type="dxa" w:w="10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Config</w:t>
            </w:r>
          </w:p>
        </w:tc>
        <w:tc>
          <w:tcPr>
            <w:tcW w:type="dxa" w:w="1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Train</w:t>
            </w:r>
          </w:p>
        </w:tc>
        <w:tc>
          <w:tcPr>
            <w:tcW w:type="dxa" w:w="14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Validation</w:t>
            </w:r>
          </w:p>
        </w:tc>
        <w:tc>
          <w:tcPr>
            <w:tcW w:type="dxa" w:w="1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Test</w:t>
            </w:r>
          </w:p>
        </w:tc>
        <w:tc>
          <w:tcPr>
            <w:tcW w:type="dxa" w:w="1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Unused</w:t>
            </w:r>
          </w:p>
        </w:tc>
        <w:tc>
          <w:tcPr>
            <w:tcW w:type="dxa" w:w="341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Nesting rule</w:t>
            </w:r>
          </w:p>
        </w:tc>
      </w:tr>
      <w:tr>
        <w:trPr>
          <w:cantSplit/>
        </w:trPr>
        <w:tc>
          <w:tcPr>
            <w:tcW w:type="dxa" w:w="1050"/>
          </w:tcPr>
          <w:p>
            <w:pPr>
              <w:spacing w:before="0" w:after="0" w:line="259" w:lineRule="auto"/>
              <w:jc w:val="center"/>
            </w:pPr>
            <w:r/>
            <w:r>
              <w:rPr>
                <w:rFonts w:ascii="Calibri" w:hAnsi="Calibri"/>
                <w:b w:val="0"/>
                <w:color w:val="0B2545"/>
                <w:sz w:val="18"/>
              </w:rPr>
              <w:t>TR40</w:t>
            </w:r>
          </w:p>
        </w:tc>
        <w:tc>
          <w:tcPr>
            <w:tcW w:type="dxa" w:w="1150"/>
          </w:tcPr>
          <w:p>
            <w:pPr>
              <w:spacing w:before="0" w:after="0" w:line="259" w:lineRule="auto"/>
              <w:jc w:val="left"/>
            </w:pPr>
            <w:r/>
            <w:r>
              <w:rPr>
                <w:rFonts w:ascii="Calibri" w:hAnsi="Calibri"/>
                <w:b w:val="0"/>
                <w:color w:val="0B2545"/>
                <w:sz w:val="18"/>
              </w:rPr>
              <w:t>40%</w:t>
            </w:r>
          </w:p>
        </w:tc>
        <w:tc>
          <w:tcPr>
            <w:tcW w:type="dxa" w:w="1450"/>
          </w:tcPr>
          <w:p>
            <w:pPr>
              <w:spacing w:before="0" w:after="0" w:line="259" w:lineRule="auto"/>
              <w:jc w:val="left"/>
            </w:pPr>
            <w:r/>
            <w:r>
              <w:rPr>
                <w:rFonts w:ascii="Calibri" w:hAnsi="Calibri"/>
                <w:b w:val="0"/>
                <w:color w:val="0B2545"/>
                <w:sz w:val="18"/>
              </w:rPr>
              <w:t>20%</w:t>
            </w:r>
          </w:p>
        </w:tc>
        <w:tc>
          <w:tcPr>
            <w:tcW w:type="dxa" w:w="1150"/>
          </w:tcPr>
          <w:p>
            <w:pPr>
              <w:spacing w:before="0" w:after="0" w:line="259" w:lineRule="auto"/>
              <w:jc w:val="left"/>
            </w:pPr>
            <w:r/>
            <w:r>
              <w:rPr>
                <w:rFonts w:ascii="Calibri" w:hAnsi="Calibri"/>
                <w:b w:val="0"/>
                <w:color w:val="0B2545"/>
                <w:sz w:val="18"/>
              </w:rPr>
              <w:t>40%</w:t>
            </w:r>
          </w:p>
        </w:tc>
        <w:tc>
          <w:tcPr>
            <w:tcW w:type="dxa" w:w="1150"/>
          </w:tcPr>
          <w:p>
            <w:pPr>
              <w:spacing w:before="0" w:after="0" w:line="259" w:lineRule="auto"/>
              <w:jc w:val="left"/>
            </w:pPr>
            <w:r/>
            <w:r>
              <w:rPr>
                <w:rFonts w:ascii="Calibri" w:hAnsi="Calibri"/>
                <w:b w:val="0"/>
                <w:color w:val="0B2545"/>
                <w:sz w:val="18"/>
              </w:rPr>
              <w:t>0%</w:t>
            </w:r>
          </w:p>
        </w:tc>
        <w:tc>
          <w:tcPr>
            <w:tcW w:type="dxa" w:w="3410"/>
          </w:tcPr>
          <w:p>
            <w:pPr>
              <w:spacing w:before="0" w:after="0" w:line="259" w:lineRule="auto"/>
              <w:jc w:val="left"/>
            </w:pPr>
            <w:r/>
            <w:r>
              <w:rPr>
                <w:rFonts w:ascii="Calibri" w:hAnsi="Calibri"/>
                <w:b w:val="0"/>
                <w:color w:val="0B2545"/>
                <w:sz w:val="18"/>
              </w:rPr>
              <w:t>Largest labelled training set</w:t>
            </w:r>
          </w:p>
        </w:tc>
      </w:tr>
      <w:tr>
        <w:trPr>
          <w:cantSplit/>
        </w:trPr>
        <w:tc>
          <w:tcPr>
            <w:tcW w:type="dxa" w:w="1050"/>
            <w:shd w:fill="F2F4F7" w:val="clear"/>
          </w:tcPr>
          <w:p>
            <w:pPr>
              <w:spacing w:before="0" w:after="0" w:line="259" w:lineRule="auto"/>
              <w:jc w:val="center"/>
            </w:pPr>
            <w:r/>
            <w:r>
              <w:rPr>
                <w:rFonts w:ascii="Calibri" w:hAnsi="Calibri"/>
                <w:b w:val="0"/>
                <w:color w:val="0B2545"/>
                <w:sz w:val="18"/>
              </w:rPr>
              <w:t>TR30</w:t>
            </w:r>
          </w:p>
        </w:tc>
        <w:tc>
          <w:tcPr>
            <w:tcW w:type="dxa" w:w="1150"/>
            <w:shd w:fill="F2F4F7" w:val="clear"/>
          </w:tcPr>
          <w:p>
            <w:pPr>
              <w:spacing w:before="0" w:after="0" w:line="259" w:lineRule="auto"/>
              <w:jc w:val="left"/>
            </w:pPr>
            <w:r/>
            <w:r>
              <w:rPr>
                <w:rFonts w:ascii="Calibri" w:hAnsi="Calibri"/>
                <w:b w:val="0"/>
                <w:color w:val="0B2545"/>
                <w:sz w:val="18"/>
              </w:rPr>
              <w:t>30%</w:t>
            </w:r>
          </w:p>
        </w:tc>
        <w:tc>
          <w:tcPr>
            <w:tcW w:type="dxa" w:w="1450"/>
            <w:shd w:fill="F2F4F7" w:val="clear"/>
          </w:tcPr>
          <w:p>
            <w:pPr>
              <w:spacing w:before="0" w:after="0" w:line="259" w:lineRule="auto"/>
              <w:jc w:val="left"/>
            </w:pPr>
            <w:r/>
            <w:r>
              <w:rPr>
                <w:rFonts w:ascii="Calibri" w:hAnsi="Calibri"/>
                <w:b w:val="0"/>
                <w:color w:val="0B2545"/>
                <w:sz w:val="18"/>
              </w:rPr>
              <w:t>20%</w:t>
            </w:r>
          </w:p>
        </w:tc>
        <w:tc>
          <w:tcPr>
            <w:tcW w:type="dxa" w:w="1150"/>
            <w:shd w:fill="F2F4F7" w:val="clear"/>
          </w:tcPr>
          <w:p>
            <w:pPr>
              <w:spacing w:before="0" w:after="0" w:line="259" w:lineRule="auto"/>
              <w:jc w:val="left"/>
            </w:pPr>
            <w:r/>
            <w:r>
              <w:rPr>
                <w:rFonts w:ascii="Calibri" w:hAnsi="Calibri"/>
                <w:b w:val="0"/>
                <w:color w:val="0B2545"/>
                <w:sz w:val="18"/>
              </w:rPr>
              <w:t>40%</w:t>
            </w:r>
          </w:p>
        </w:tc>
        <w:tc>
          <w:tcPr>
            <w:tcW w:type="dxa" w:w="1150"/>
            <w:shd w:fill="F2F4F7" w:val="clear"/>
          </w:tcPr>
          <w:p>
            <w:pPr>
              <w:spacing w:before="0" w:after="0" w:line="259" w:lineRule="auto"/>
              <w:jc w:val="left"/>
            </w:pPr>
            <w:r/>
            <w:r>
              <w:rPr>
                <w:rFonts w:ascii="Calibri" w:hAnsi="Calibri"/>
                <w:b w:val="0"/>
                <w:color w:val="0B2545"/>
                <w:sz w:val="18"/>
              </w:rPr>
              <w:t>10%</w:t>
            </w:r>
          </w:p>
        </w:tc>
        <w:tc>
          <w:tcPr>
            <w:tcW w:type="dxa" w:w="3410"/>
            <w:shd w:fill="F2F4F7" w:val="clear"/>
          </w:tcPr>
          <w:p>
            <w:pPr>
              <w:spacing w:before="0" w:after="0" w:line="259" w:lineRule="auto"/>
              <w:jc w:val="left"/>
            </w:pPr>
            <w:r/>
            <w:r>
              <w:rPr>
                <w:rFonts w:ascii="Calibri" w:hAnsi="Calibri"/>
                <w:b w:val="0"/>
                <w:color w:val="0B2545"/>
                <w:sz w:val="18"/>
              </w:rPr>
              <w:t>TR30 subset of TR40</w:t>
            </w:r>
          </w:p>
        </w:tc>
      </w:tr>
      <w:tr>
        <w:trPr>
          <w:cantSplit/>
        </w:trPr>
        <w:tc>
          <w:tcPr>
            <w:tcW w:type="dxa" w:w="1050"/>
          </w:tcPr>
          <w:p>
            <w:pPr>
              <w:spacing w:before="0" w:after="0" w:line="259" w:lineRule="auto"/>
              <w:jc w:val="center"/>
            </w:pPr>
            <w:r/>
            <w:r>
              <w:rPr>
                <w:rFonts w:ascii="Calibri" w:hAnsi="Calibri"/>
                <w:b w:val="0"/>
                <w:color w:val="0B2545"/>
                <w:sz w:val="18"/>
              </w:rPr>
              <w:t>TR20</w:t>
            </w:r>
          </w:p>
        </w:tc>
        <w:tc>
          <w:tcPr>
            <w:tcW w:type="dxa" w:w="1150"/>
          </w:tcPr>
          <w:p>
            <w:pPr>
              <w:spacing w:before="0" w:after="0" w:line="259" w:lineRule="auto"/>
              <w:jc w:val="left"/>
            </w:pPr>
            <w:r/>
            <w:r>
              <w:rPr>
                <w:rFonts w:ascii="Calibri" w:hAnsi="Calibri"/>
                <w:b w:val="0"/>
                <w:color w:val="0B2545"/>
                <w:sz w:val="18"/>
              </w:rPr>
              <w:t>20%</w:t>
            </w:r>
          </w:p>
        </w:tc>
        <w:tc>
          <w:tcPr>
            <w:tcW w:type="dxa" w:w="1450"/>
          </w:tcPr>
          <w:p>
            <w:pPr>
              <w:spacing w:before="0" w:after="0" w:line="259" w:lineRule="auto"/>
              <w:jc w:val="left"/>
            </w:pPr>
            <w:r/>
            <w:r>
              <w:rPr>
                <w:rFonts w:ascii="Calibri" w:hAnsi="Calibri"/>
                <w:b w:val="0"/>
                <w:color w:val="0B2545"/>
                <w:sz w:val="18"/>
              </w:rPr>
              <w:t>20%</w:t>
            </w:r>
          </w:p>
        </w:tc>
        <w:tc>
          <w:tcPr>
            <w:tcW w:type="dxa" w:w="1150"/>
          </w:tcPr>
          <w:p>
            <w:pPr>
              <w:spacing w:before="0" w:after="0" w:line="259" w:lineRule="auto"/>
              <w:jc w:val="left"/>
            </w:pPr>
            <w:r/>
            <w:r>
              <w:rPr>
                <w:rFonts w:ascii="Calibri" w:hAnsi="Calibri"/>
                <w:b w:val="0"/>
                <w:color w:val="0B2545"/>
                <w:sz w:val="18"/>
              </w:rPr>
              <w:t>40%</w:t>
            </w:r>
          </w:p>
        </w:tc>
        <w:tc>
          <w:tcPr>
            <w:tcW w:type="dxa" w:w="1150"/>
          </w:tcPr>
          <w:p>
            <w:pPr>
              <w:spacing w:before="0" w:after="0" w:line="259" w:lineRule="auto"/>
              <w:jc w:val="left"/>
            </w:pPr>
            <w:r/>
            <w:r>
              <w:rPr>
                <w:rFonts w:ascii="Calibri" w:hAnsi="Calibri"/>
                <w:b w:val="0"/>
                <w:color w:val="0B2545"/>
                <w:sz w:val="18"/>
              </w:rPr>
              <w:t>20%</w:t>
            </w:r>
          </w:p>
        </w:tc>
        <w:tc>
          <w:tcPr>
            <w:tcW w:type="dxa" w:w="3410"/>
          </w:tcPr>
          <w:p>
            <w:pPr>
              <w:spacing w:before="0" w:after="0" w:line="259" w:lineRule="auto"/>
              <w:jc w:val="left"/>
            </w:pPr>
            <w:r/>
            <w:r>
              <w:rPr>
                <w:rFonts w:ascii="Calibri" w:hAnsi="Calibri"/>
                <w:b w:val="0"/>
                <w:color w:val="0B2545"/>
                <w:sz w:val="18"/>
              </w:rPr>
              <w:t>TR20 subset of TR30</w:t>
            </w:r>
          </w:p>
        </w:tc>
      </w:tr>
      <w:tr>
        <w:trPr>
          <w:cantSplit/>
        </w:trPr>
        <w:tc>
          <w:tcPr>
            <w:tcW w:type="dxa" w:w="1050"/>
            <w:shd w:fill="F2F4F7" w:val="clear"/>
          </w:tcPr>
          <w:p>
            <w:pPr>
              <w:spacing w:before="0" w:after="0" w:line="259" w:lineRule="auto"/>
              <w:jc w:val="center"/>
            </w:pPr>
            <w:r/>
            <w:r>
              <w:rPr>
                <w:rFonts w:ascii="Calibri" w:hAnsi="Calibri"/>
                <w:b w:val="0"/>
                <w:color w:val="0B2545"/>
                <w:sz w:val="18"/>
              </w:rPr>
              <w:t>TR10</w:t>
            </w:r>
          </w:p>
        </w:tc>
        <w:tc>
          <w:tcPr>
            <w:tcW w:type="dxa" w:w="1150"/>
            <w:shd w:fill="F2F4F7" w:val="clear"/>
          </w:tcPr>
          <w:p>
            <w:pPr>
              <w:spacing w:before="0" w:after="0" w:line="259" w:lineRule="auto"/>
              <w:jc w:val="left"/>
            </w:pPr>
            <w:r/>
            <w:r>
              <w:rPr>
                <w:rFonts w:ascii="Calibri" w:hAnsi="Calibri"/>
                <w:b w:val="0"/>
                <w:color w:val="0B2545"/>
                <w:sz w:val="18"/>
              </w:rPr>
              <w:t>10%</w:t>
            </w:r>
          </w:p>
        </w:tc>
        <w:tc>
          <w:tcPr>
            <w:tcW w:type="dxa" w:w="1450"/>
            <w:shd w:fill="F2F4F7" w:val="clear"/>
          </w:tcPr>
          <w:p>
            <w:pPr>
              <w:spacing w:before="0" w:after="0" w:line="259" w:lineRule="auto"/>
              <w:jc w:val="left"/>
            </w:pPr>
            <w:r/>
            <w:r>
              <w:rPr>
                <w:rFonts w:ascii="Calibri" w:hAnsi="Calibri"/>
                <w:b w:val="0"/>
                <w:color w:val="0B2545"/>
                <w:sz w:val="18"/>
              </w:rPr>
              <w:t>20%</w:t>
            </w:r>
          </w:p>
        </w:tc>
        <w:tc>
          <w:tcPr>
            <w:tcW w:type="dxa" w:w="1150"/>
            <w:shd w:fill="F2F4F7" w:val="clear"/>
          </w:tcPr>
          <w:p>
            <w:pPr>
              <w:spacing w:before="0" w:after="0" w:line="259" w:lineRule="auto"/>
              <w:jc w:val="left"/>
            </w:pPr>
            <w:r/>
            <w:r>
              <w:rPr>
                <w:rFonts w:ascii="Calibri" w:hAnsi="Calibri"/>
                <w:b w:val="0"/>
                <w:color w:val="0B2545"/>
                <w:sz w:val="18"/>
              </w:rPr>
              <w:t>40%</w:t>
            </w:r>
          </w:p>
        </w:tc>
        <w:tc>
          <w:tcPr>
            <w:tcW w:type="dxa" w:w="1150"/>
            <w:shd w:fill="F2F4F7" w:val="clear"/>
          </w:tcPr>
          <w:p>
            <w:pPr>
              <w:spacing w:before="0" w:after="0" w:line="259" w:lineRule="auto"/>
              <w:jc w:val="left"/>
            </w:pPr>
            <w:r/>
            <w:r>
              <w:rPr>
                <w:rFonts w:ascii="Calibri" w:hAnsi="Calibri"/>
                <w:b w:val="0"/>
                <w:color w:val="0B2545"/>
                <w:sz w:val="18"/>
              </w:rPr>
              <w:t>30%</w:t>
            </w:r>
          </w:p>
        </w:tc>
        <w:tc>
          <w:tcPr>
            <w:tcW w:type="dxa" w:w="3410"/>
            <w:shd w:fill="F2F4F7" w:val="clear"/>
          </w:tcPr>
          <w:p>
            <w:pPr>
              <w:spacing w:before="0" w:after="0" w:line="259" w:lineRule="auto"/>
              <w:jc w:val="left"/>
            </w:pPr>
            <w:r/>
            <w:r>
              <w:rPr>
                <w:rFonts w:ascii="Calibri" w:hAnsi="Calibri"/>
                <w:b w:val="0"/>
                <w:color w:val="0B2545"/>
                <w:sz w:val="18"/>
              </w:rPr>
              <w:t>TR10 subset of TR20</w:t>
            </w:r>
          </w:p>
        </w:tc>
      </w:tr>
    </w:tbl>
    <w:p>
      <w:pPr>
        <w:spacing w:after="0"/>
      </w:pPr>
    </w:p>
    <w:p>
      <w:pPr>
        <w:numPr>
          <w:ilvl w:val="0"/>
          <w:numId w:val="10"/>
        </w:numPr>
        <w:spacing w:before="0" w:after="80" w:line="300" w:lineRule="auto"/>
      </w:pPr>
      <w:r>
        <w:rPr>
          <w:rFonts w:ascii="Calibri" w:hAnsi="Calibri"/>
          <w:color w:val="0B2545"/>
          <w:sz w:val="22"/>
        </w:rPr>
        <w:t>Static datasets: create stratified persistent IDs once per seed. Validation and test IDs never change across TR40, TR30, TR20 and TR10.</w:t>
      </w:r>
    </w:p>
    <w:p>
      <w:pPr>
        <w:numPr>
          <w:ilvl w:val="0"/>
          <w:numId w:val="10"/>
        </w:numPr>
        <w:spacing w:before="0" w:after="80" w:line="300" w:lineRule="auto"/>
      </w:pPr>
      <w:r>
        <w:rPr>
          <w:rFonts w:ascii="Calibri" w:hAnsi="Calibri"/>
          <w:color w:val="0B2545"/>
          <w:sz w:val="22"/>
        </w:rPr>
        <w:t>Elliptic exception: preserve chronology. Validation and test must remain in later time periods; vary only the earlier labelled training portion.</w:t>
      </w:r>
    </w:p>
    <w:p>
      <w:pPr>
        <w:numPr>
          <w:ilvl w:val="0"/>
          <w:numId w:val="10"/>
        </w:numPr>
        <w:spacing w:before="0" w:after="80" w:line="300" w:lineRule="auto"/>
      </w:pPr>
      <w:r>
        <w:rPr>
          <w:rFonts w:ascii="Calibri" w:hAnsi="Calibri"/>
          <w:color w:val="0B2545"/>
          <w:sz w:val="22"/>
        </w:rPr>
        <w:t>Removed training nodes are unused, not moved into validation or test.</w:t>
      </w:r>
    </w:p>
    <w:p>
      <w:pPr>
        <w:numPr>
          <w:ilvl w:val="0"/>
          <w:numId w:val="10"/>
        </w:numPr>
        <w:spacing w:before="0" w:after="80" w:line="300" w:lineRule="auto"/>
      </w:pPr>
      <w:r>
        <w:rPr>
          <w:rFonts w:ascii="Calibri" w:hAnsi="Calibri"/>
          <w:color w:val="0B2545"/>
          <w:sz w:val="22"/>
        </w:rPr>
        <w:t>No test labels may be used for early stopping, threshold selection, hyperparameter selection or model replacement.</w:t>
      </w:r>
    </w:p>
    <w:p>
      <w:pPr>
        <w:pStyle w:val="Heading2"/>
      </w:pPr>
      <w:r>
        <w:t>Common settings and tuning</w:t>
      </w:r>
    </w:p>
    <w:tbl>
      <w:tblPr>
        <w:tblStyle w:val="TableGrid"/>
        <w:tblW w:type="dxa" w:w="9360"/>
        <w:jc w:val="left"/>
        <w:tblLayout w:type="fixed"/>
        <w:tblLook w:firstColumn="1" w:firstRow="1" w:lastColumn="0" w:lastRow="0" w:noHBand="0" w:noVBand="1" w:val="04A0"/>
        <w:tblInd w:w="120" w:type="dxa"/>
      </w:tblPr>
      <w:tblGrid>
        <w:gridCol w:w="1700"/>
        <w:gridCol w:w="3100"/>
        <w:gridCol w:w="4560"/>
      </w:tblGrid>
      <w:tr>
        <w:trPr>
          <w:tblHeader w:val="true"/>
          <w:cantSplit/>
        </w:trPr>
        <w:tc>
          <w:tcPr>
            <w:tcW w:type="dxa" w:w="17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Item</w:t>
            </w:r>
          </w:p>
        </w:tc>
        <w:tc>
          <w:tcPr>
            <w:tcW w:type="dxa" w:w="31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Author reproduction</w:t>
            </w:r>
          </w:p>
        </w:tc>
        <w:tc>
          <w:tcPr>
            <w:tcW w:type="dxa" w:w="456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Unified controlled benchmark</w:t>
            </w:r>
          </w:p>
        </w:tc>
      </w:tr>
      <w:tr>
        <w:trPr>
          <w:cantSplit/>
        </w:trPr>
        <w:tc>
          <w:tcPr>
            <w:tcW w:type="dxa" w:w="1700"/>
          </w:tcPr>
          <w:p>
            <w:pPr>
              <w:spacing w:before="0" w:after="0" w:line="259" w:lineRule="auto"/>
              <w:jc w:val="center"/>
            </w:pPr>
            <w:r/>
            <w:r>
              <w:rPr>
                <w:rFonts w:ascii="Calibri" w:hAnsi="Calibri"/>
                <w:b w:val="0"/>
                <w:color w:val="0B2545"/>
                <w:sz w:val="17"/>
              </w:rPr>
              <w:t>Optimizer</w:t>
            </w:r>
          </w:p>
        </w:tc>
        <w:tc>
          <w:tcPr>
            <w:tcW w:type="dxa" w:w="3100"/>
          </w:tcPr>
          <w:p>
            <w:pPr>
              <w:spacing w:before="0" w:after="0" w:line="259" w:lineRule="auto"/>
              <w:jc w:val="left"/>
            </w:pPr>
            <w:r/>
            <w:r>
              <w:rPr>
                <w:rFonts w:ascii="Calibri" w:hAnsi="Calibri"/>
                <w:b w:val="0"/>
                <w:color w:val="0B2545"/>
                <w:sz w:val="17"/>
              </w:rPr>
              <w:t>Use the paper/repository optimizer.</w:t>
            </w:r>
          </w:p>
        </w:tc>
        <w:tc>
          <w:tcPr>
            <w:tcW w:type="dxa" w:w="4560"/>
          </w:tcPr>
          <w:p>
            <w:pPr>
              <w:spacing w:before="0" w:after="0" w:line="259" w:lineRule="auto"/>
              <w:jc w:val="left"/>
            </w:pPr>
            <w:r/>
            <w:r>
              <w:rPr>
                <w:rFonts w:ascii="Calibri" w:hAnsi="Calibri"/>
                <w:b w:val="0"/>
                <w:color w:val="0B2545"/>
                <w:sz w:val="17"/>
              </w:rPr>
              <w:t>One team-selected optimizer across models; Adam is the current proposal, not a supervisor-mandated choice. Document any method-essential exception.</w:t>
            </w:r>
          </w:p>
        </w:tc>
      </w:tr>
      <w:tr>
        <w:trPr>
          <w:cantSplit/>
        </w:trPr>
        <w:tc>
          <w:tcPr>
            <w:tcW w:type="dxa" w:w="1700"/>
            <w:shd w:fill="F2F4F7" w:val="clear"/>
          </w:tcPr>
          <w:p>
            <w:pPr>
              <w:spacing w:before="0" w:after="0" w:line="259" w:lineRule="auto"/>
              <w:jc w:val="center"/>
            </w:pPr>
            <w:r/>
            <w:r>
              <w:rPr>
                <w:rFonts w:ascii="Calibri" w:hAnsi="Calibri"/>
                <w:b w:val="0"/>
                <w:color w:val="0B2545"/>
                <w:sz w:val="17"/>
              </w:rPr>
              <w:t>Seeds</w:t>
            </w:r>
          </w:p>
        </w:tc>
        <w:tc>
          <w:tcPr>
            <w:tcW w:type="dxa" w:w="3100"/>
            <w:shd w:fill="F2F4F7" w:val="clear"/>
          </w:tcPr>
          <w:p>
            <w:pPr>
              <w:spacing w:before="0" w:after="0" w:line="259" w:lineRule="auto"/>
              <w:jc w:val="left"/>
            </w:pPr>
            <w:r/>
            <w:r>
              <w:rPr>
                <w:rFonts w:ascii="Calibri" w:hAnsi="Calibri"/>
                <w:b w:val="0"/>
                <w:color w:val="0B2545"/>
                <w:sz w:val="17"/>
              </w:rPr>
              <w:t>Use author seed(s) where stated.</w:t>
            </w:r>
          </w:p>
        </w:tc>
        <w:tc>
          <w:tcPr>
            <w:tcW w:type="dxa" w:w="4560"/>
            <w:shd w:fill="F2F4F7" w:val="clear"/>
          </w:tcPr>
          <w:p>
            <w:pPr>
              <w:spacing w:before="0" w:after="0" w:line="259" w:lineRule="auto"/>
              <w:jc w:val="left"/>
            </w:pPr>
            <w:r/>
            <w:r>
              <w:rPr>
                <w:rFonts w:ascii="Calibri" w:hAnsi="Calibri"/>
                <w:b w:val="0"/>
                <w:color w:val="0B2545"/>
                <w:sz w:val="17"/>
              </w:rPr>
              <w:t>Lock the same three seed values before controlled runs; do not invent or change them after seeing test results.</w:t>
            </w:r>
          </w:p>
        </w:tc>
      </w:tr>
      <w:tr>
        <w:trPr>
          <w:cantSplit/>
        </w:trPr>
        <w:tc>
          <w:tcPr>
            <w:tcW w:type="dxa" w:w="1700"/>
          </w:tcPr>
          <w:p>
            <w:pPr>
              <w:spacing w:before="0" w:after="0" w:line="259" w:lineRule="auto"/>
              <w:jc w:val="center"/>
            </w:pPr>
            <w:r/>
            <w:r>
              <w:rPr>
                <w:rFonts w:ascii="Calibri" w:hAnsi="Calibri"/>
                <w:b w:val="0"/>
                <w:color w:val="0B2545"/>
                <w:sz w:val="17"/>
              </w:rPr>
              <w:t>Hyperparameters</w:t>
            </w:r>
          </w:p>
        </w:tc>
        <w:tc>
          <w:tcPr>
            <w:tcW w:type="dxa" w:w="3100"/>
          </w:tcPr>
          <w:p>
            <w:pPr>
              <w:spacing w:before="0" w:after="0" w:line="259" w:lineRule="auto"/>
              <w:jc w:val="left"/>
            </w:pPr>
            <w:r/>
            <w:r>
              <w:rPr>
                <w:rFonts w:ascii="Calibri" w:hAnsi="Calibri"/>
                <w:b w:val="0"/>
                <w:color w:val="0B2545"/>
                <w:sz w:val="17"/>
              </w:rPr>
              <w:t>Start with published best/default values.</w:t>
            </w:r>
          </w:p>
        </w:tc>
        <w:tc>
          <w:tcPr>
            <w:tcW w:type="dxa" w:w="4560"/>
          </w:tcPr>
          <w:p>
            <w:pPr>
              <w:spacing w:before="0" w:after="0" w:line="259" w:lineRule="auto"/>
              <w:jc w:val="left"/>
            </w:pPr>
            <w:r/>
            <w:r>
              <w:rPr>
                <w:rFonts w:ascii="Calibri" w:hAnsi="Calibri"/>
                <w:b w:val="0"/>
                <w:color w:val="0B2545"/>
                <w:sz w:val="17"/>
              </w:rPr>
              <w:t>Equal predeclared tuning budget. Tune learning rate, weight decay, dropout, hidden dimension and author-defined model-specific parameters using validation only.</w:t>
            </w:r>
          </w:p>
        </w:tc>
      </w:tr>
      <w:tr>
        <w:trPr>
          <w:cantSplit/>
        </w:trPr>
        <w:tc>
          <w:tcPr>
            <w:tcW w:type="dxa" w:w="1700"/>
            <w:shd w:fill="F2F4F7" w:val="clear"/>
          </w:tcPr>
          <w:p>
            <w:pPr>
              <w:spacing w:before="0" w:after="0" w:line="259" w:lineRule="auto"/>
              <w:jc w:val="center"/>
            </w:pPr>
            <w:r/>
            <w:r>
              <w:rPr>
                <w:rFonts w:ascii="Calibri" w:hAnsi="Calibri"/>
                <w:b w:val="0"/>
                <w:color w:val="0B2545"/>
                <w:sz w:val="17"/>
              </w:rPr>
              <w:t>Architecture</w:t>
            </w:r>
          </w:p>
        </w:tc>
        <w:tc>
          <w:tcPr>
            <w:tcW w:type="dxa" w:w="3100"/>
            <w:shd w:fill="F2F4F7" w:val="clear"/>
          </w:tcPr>
          <w:p>
            <w:pPr>
              <w:spacing w:before="0" w:after="0" w:line="259" w:lineRule="auto"/>
              <w:jc w:val="left"/>
            </w:pPr>
            <w:r/>
            <w:r>
              <w:rPr>
                <w:rFonts w:ascii="Calibri" w:hAnsi="Calibri"/>
                <w:b w:val="0"/>
                <w:color w:val="0B2545"/>
                <w:sz w:val="17"/>
              </w:rPr>
              <w:t>Preserve exactly unless a minimal compatibility patch is required.</w:t>
            </w:r>
          </w:p>
        </w:tc>
        <w:tc>
          <w:tcPr>
            <w:tcW w:type="dxa" w:w="4560"/>
            <w:shd w:fill="F2F4F7" w:val="clear"/>
          </w:tcPr>
          <w:p>
            <w:pPr>
              <w:spacing w:before="0" w:after="0" w:line="259" w:lineRule="auto"/>
              <w:jc w:val="left"/>
            </w:pPr>
            <w:r/>
            <w:r>
              <w:rPr>
                <w:rFonts w:ascii="Calibri" w:hAnsi="Calibri"/>
                <w:b w:val="0"/>
                <w:color w:val="0B2545"/>
                <w:sz w:val="17"/>
              </w:rPr>
              <w:t>Do not add/remove message-passing layers, replace aggregation, delete specialised modules, replace losses or change relation semantics.</w:t>
            </w:r>
          </w:p>
        </w:tc>
      </w:tr>
      <w:tr>
        <w:trPr>
          <w:cantSplit/>
        </w:trPr>
        <w:tc>
          <w:tcPr>
            <w:tcW w:type="dxa" w:w="1700"/>
          </w:tcPr>
          <w:p>
            <w:pPr>
              <w:spacing w:before="0" w:after="0" w:line="259" w:lineRule="auto"/>
              <w:jc w:val="center"/>
            </w:pPr>
            <w:r/>
            <w:r>
              <w:rPr>
                <w:rFonts w:ascii="Calibri" w:hAnsi="Calibri"/>
                <w:b w:val="0"/>
                <w:color w:val="0B2545"/>
                <w:sz w:val="17"/>
              </w:rPr>
              <w:t>Epochs</w:t>
            </w:r>
          </w:p>
        </w:tc>
        <w:tc>
          <w:tcPr>
            <w:tcW w:type="dxa" w:w="3100"/>
          </w:tcPr>
          <w:p>
            <w:pPr>
              <w:spacing w:before="0" w:after="0" w:line="259" w:lineRule="auto"/>
              <w:jc w:val="left"/>
            </w:pPr>
            <w:r/>
            <w:r>
              <w:rPr>
                <w:rFonts w:ascii="Calibri" w:hAnsi="Calibri"/>
                <w:b w:val="0"/>
                <w:color w:val="0B2545"/>
                <w:sz w:val="17"/>
              </w:rPr>
              <w:t>Use author setting.</w:t>
            </w:r>
          </w:p>
        </w:tc>
        <w:tc>
          <w:tcPr>
            <w:tcW w:type="dxa" w:w="4560"/>
          </w:tcPr>
          <w:p>
            <w:pPr>
              <w:spacing w:before="0" w:after="0" w:line="259" w:lineRule="auto"/>
              <w:jc w:val="left"/>
            </w:pPr>
            <w:r/>
            <w:r>
              <w:rPr>
                <w:rFonts w:ascii="Calibri" w:hAnsi="Calibri"/>
                <w:b w:val="0"/>
                <w:color w:val="0B2545"/>
                <w:sz w:val="17"/>
              </w:rPr>
              <w:t>Use a common maximum where feasible with validation-only early stopping; save completed epochs and best epoch.</w:t>
            </w:r>
          </w:p>
        </w:tc>
      </w:tr>
    </w:tbl>
    <w:p>
      <w:pPr>
        <w:spacing w:after="0"/>
      </w:pPr>
    </w:p>
    <w:p>
      <w:pPr>
        <w:pStyle w:val="Heading1"/>
      </w:pPr>
      <w:r>
        <w:t>8. Metrics, timing and saved evidence</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Category</w:t>
            </w:r>
          </w:p>
        </w:tc>
        <w:tc>
          <w:tcPr>
            <w:tcW w:type="dxa" w:w="726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Mandatory fields</w:t>
            </w:r>
          </w:p>
        </w:tc>
      </w:tr>
      <w:tr>
        <w:trPr>
          <w:cantSplit/>
        </w:trPr>
        <w:tc>
          <w:tcPr>
            <w:tcW w:type="dxa" w:w="2100"/>
          </w:tcPr>
          <w:p>
            <w:pPr>
              <w:spacing w:before="0" w:after="0" w:line="259" w:lineRule="auto"/>
              <w:jc w:val="left"/>
            </w:pPr>
            <w:r/>
            <w:r>
              <w:rPr>
                <w:rFonts w:ascii="Calibri" w:hAnsi="Calibri"/>
                <w:b w:val="0"/>
                <w:color w:val="0B2545"/>
                <w:sz w:val="18"/>
              </w:rPr>
              <w:t>Performance</w:t>
            </w:r>
          </w:p>
        </w:tc>
        <w:tc>
          <w:tcPr>
            <w:tcW w:type="dxa" w:w="7260"/>
          </w:tcPr>
          <w:p>
            <w:pPr>
              <w:spacing w:before="0" w:after="0" w:line="259" w:lineRule="auto"/>
              <w:jc w:val="left"/>
            </w:pPr>
            <w:r/>
            <w:r>
              <w:rPr>
                <w:rFonts w:ascii="Calibri" w:hAnsi="Calibri"/>
                <w:b w:val="0"/>
                <w:color w:val="0B2545"/>
                <w:sz w:val="18"/>
              </w:rPr>
              <w:t>AUROC, AUPRC/Average Precision, fraud-class precision, fraud-class recall, fraud-class F1, Macro-F1 and G-Mean.</w:t>
            </w:r>
          </w:p>
        </w:tc>
      </w:tr>
      <w:tr>
        <w:trPr>
          <w:cantSplit/>
        </w:trPr>
        <w:tc>
          <w:tcPr>
            <w:tcW w:type="dxa" w:w="2100"/>
            <w:shd w:fill="F2F4F7" w:val="clear"/>
          </w:tcPr>
          <w:p>
            <w:pPr>
              <w:spacing w:before="0" w:after="0" w:line="259" w:lineRule="auto"/>
              <w:jc w:val="left"/>
            </w:pPr>
            <w:r/>
            <w:r>
              <w:rPr>
                <w:rFonts w:ascii="Calibri" w:hAnsi="Calibri"/>
                <w:b w:val="0"/>
                <w:color w:val="0B2545"/>
                <w:sz w:val="18"/>
              </w:rPr>
              <w:t>Training efficiency</w:t>
            </w:r>
          </w:p>
        </w:tc>
        <w:tc>
          <w:tcPr>
            <w:tcW w:type="dxa" w:w="7260"/>
            <w:shd w:fill="F2F4F7" w:val="clear"/>
          </w:tcPr>
          <w:p>
            <w:pPr>
              <w:spacing w:before="0" w:after="0" w:line="259" w:lineRule="auto"/>
              <w:jc w:val="left"/>
            </w:pPr>
            <w:r/>
            <w:r>
              <w:rPr>
                <w:rFonts w:ascii="Calibri" w:hAnsi="Calibri"/>
                <w:b w:val="0"/>
                <w:color w:val="0B2545"/>
                <w:sz w:val="18"/>
              </w:rPr>
              <w:t>Preprocessing/load time, total training wall-clock time, completed epochs and mean epoch time.</w:t>
            </w:r>
          </w:p>
        </w:tc>
      </w:tr>
      <w:tr>
        <w:trPr>
          <w:cantSplit/>
        </w:trPr>
        <w:tc>
          <w:tcPr>
            <w:tcW w:type="dxa" w:w="2100"/>
          </w:tcPr>
          <w:p>
            <w:pPr>
              <w:spacing w:before="0" w:after="0" w:line="259" w:lineRule="auto"/>
              <w:jc w:val="left"/>
            </w:pPr>
            <w:r/>
            <w:r>
              <w:rPr>
                <w:rFonts w:ascii="Calibri" w:hAnsi="Calibri"/>
                <w:b w:val="0"/>
                <w:color w:val="0B2545"/>
                <w:sz w:val="18"/>
              </w:rPr>
              <w:t>Additional efficiency</w:t>
            </w:r>
          </w:p>
        </w:tc>
        <w:tc>
          <w:tcPr>
            <w:tcW w:type="dxa" w:w="7260"/>
          </w:tcPr>
          <w:p>
            <w:pPr>
              <w:spacing w:before="0" w:after="0" w:line="259" w:lineRule="auto"/>
              <w:jc w:val="left"/>
            </w:pPr>
            <w:r/>
            <w:r>
              <w:rPr>
                <w:rFonts w:ascii="Calibri" w:hAnsi="Calibri"/>
                <w:b w:val="0"/>
                <w:color w:val="0B2545"/>
                <w:sz w:val="18"/>
              </w:rPr>
              <w:t>Inference time and peak GPU memory where practical; parameter count if consistently available.</w:t>
            </w:r>
          </w:p>
        </w:tc>
      </w:tr>
      <w:tr>
        <w:trPr>
          <w:cantSplit/>
        </w:trPr>
        <w:tc>
          <w:tcPr>
            <w:tcW w:type="dxa" w:w="2100"/>
            <w:shd w:fill="F2F4F7" w:val="clear"/>
          </w:tcPr>
          <w:p>
            <w:pPr>
              <w:spacing w:before="0" w:after="0" w:line="259" w:lineRule="auto"/>
              <w:jc w:val="left"/>
            </w:pPr>
            <w:r/>
            <w:r>
              <w:rPr>
                <w:rFonts w:ascii="Calibri" w:hAnsi="Calibri"/>
                <w:b w:val="0"/>
                <w:color w:val="0B2545"/>
                <w:sz w:val="18"/>
              </w:rPr>
              <w:t>Environment</w:t>
            </w:r>
          </w:p>
        </w:tc>
        <w:tc>
          <w:tcPr>
            <w:tcW w:type="dxa" w:w="7260"/>
            <w:shd w:fill="F2F4F7" w:val="clear"/>
          </w:tcPr>
          <w:p>
            <w:pPr>
              <w:spacing w:before="0" w:after="0" w:line="259" w:lineRule="auto"/>
              <w:jc w:val="left"/>
            </w:pPr>
            <w:r/>
            <w:r>
              <w:rPr>
                <w:rFonts w:ascii="Calibri" w:hAnsi="Calibri"/>
                <w:b w:val="0"/>
                <w:color w:val="0B2545"/>
                <w:sz w:val="18"/>
              </w:rPr>
              <w:t>Repository URL, commit hash, Python, framework, DGL/PyG, CUDA, GPU name and VRAM, requirements lock.</w:t>
            </w:r>
          </w:p>
        </w:tc>
      </w:tr>
      <w:tr>
        <w:trPr>
          <w:cantSplit/>
        </w:trPr>
        <w:tc>
          <w:tcPr>
            <w:tcW w:type="dxa" w:w="2100"/>
          </w:tcPr>
          <w:p>
            <w:pPr>
              <w:spacing w:before="0" w:after="0" w:line="259" w:lineRule="auto"/>
              <w:jc w:val="left"/>
            </w:pPr>
            <w:r/>
            <w:r>
              <w:rPr>
                <w:rFonts w:ascii="Calibri" w:hAnsi="Calibri"/>
                <w:b w:val="0"/>
                <w:color w:val="0B2545"/>
                <w:sz w:val="18"/>
              </w:rPr>
              <w:t>Run identity</w:t>
            </w:r>
          </w:p>
        </w:tc>
        <w:tc>
          <w:tcPr>
            <w:tcW w:type="dxa" w:w="7260"/>
          </w:tcPr>
          <w:p>
            <w:pPr>
              <w:spacing w:before="0" w:after="0" w:line="259" w:lineRule="auto"/>
              <w:jc w:val="left"/>
            </w:pPr>
            <w:r/>
            <w:r>
              <w:rPr>
                <w:rFonts w:ascii="Calibri" w:hAnsi="Calibri"/>
                <w:b w:val="0"/>
                <w:color w:val="0B2545"/>
                <w:sz w:val="18"/>
              </w:rPr>
              <w:t>Run ID, phase, model, dataset, split ID, train ratio, seed, configuration file and status.</w:t>
            </w:r>
          </w:p>
        </w:tc>
      </w:tr>
      <w:tr>
        <w:trPr>
          <w:cantSplit/>
        </w:trPr>
        <w:tc>
          <w:tcPr>
            <w:tcW w:type="dxa" w:w="2100"/>
            <w:shd w:fill="F2F4F7" w:val="clear"/>
          </w:tcPr>
          <w:p>
            <w:pPr>
              <w:spacing w:before="0" w:after="0" w:line="259" w:lineRule="auto"/>
              <w:jc w:val="left"/>
            </w:pPr>
            <w:r/>
            <w:r>
              <w:rPr>
                <w:rFonts w:ascii="Calibri" w:hAnsi="Calibri"/>
                <w:b w:val="0"/>
                <w:color w:val="0B2545"/>
                <w:sz w:val="18"/>
              </w:rPr>
              <w:t>Evidence</w:t>
            </w:r>
          </w:p>
        </w:tc>
        <w:tc>
          <w:tcPr>
            <w:tcW w:type="dxa" w:w="7260"/>
            <w:shd w:fill="F2F4F7" w:val="clear"/>
          </w:tcPr>
          <w:p>
            <w:pPr>
              <w:spacing w:before="0" w:after="0" w:line="259" w:lineRule="auto"/>
              <w:jc w:val="left"/>
            </w:pPr>
            <w:r/>
            <w:r>
              <w:rPr>
                <w:rFonts w:ascii="Calibri" w:hAnsi="Calibri"/>
                <w:b w:val="0"/>
                <w:color w:val="0B2545"/>
                <w:sz w:val="18"/>
              </w:rPr>
              <w:t>Console log, config snapshot, metrics JSON/CSV, predictions or fraud scores, checkpoint where permitted, and change log.</w:t>
            </w:r>
          </w:p>
        </w:tc>
      </w:tr>
    </w:tbl>
    <w:p>
      <w:pPr>
        <w:spacing w:after="0"/>
      </w:pPr>
    </w:p>
    <w:p>
      <w:r>
        <w:rPr>
          <w:b/>
        </w:rPr>
        <w:t xml:space="preserve">Timing rule. </w:t>
      </w:r>
      <w:r>
        <w:t>Synchronise the GPU immediately before starting and after ending the timed region. Use the same timing boundaries for every controlled model; do not compare a T4 run with a P100/CPU run as model-efficiency evidence.</w:t>
      </w:r>
    </w:p>
    <w:p>
      <w:r>
        <w:br w:type="page"/>
      </w:r>
    </w:p>
    <w:p>
      <w:pPr>
        <w:pStyle w:val="Heading1"/>
      </w:pPr>
      <w:r>
        <w:t>9. Standard result tables</w:t>
      </w:r>
    </w:p>
    <w:p>
      <w:pPr>
        <w:pStyle w:val="Heading2"/>
      </w:pPr>
      <w:r>
        <w:t>Author reproduction record</w:t>
      </w:r>
    </w:p>
    <w:tbl>
      <w:tblPr>
        <w:tblStyle w:val="TableGrid"/>
        <w:tblW w:type="dxa" w:w="9360"/>
        <w:jc w:val="left"/>
        <w:tblLayout w:type="fixed"/>
        <w:tblLook w:firstColumn="1" w:firstRow="1" w:lastColumn="0" w:lastRow="0" w:noHBand="0" w:noVBand="1" w:val="04A0"/>
        <w:tblInd w:w="120" w:type="dxa"/>
      </w:tblPr>
      <w:tblGrid>
        <w:gridCol w:w="1250"/>
        <w:gridCol w:w="1250"/>
        <w:gridCol w:w="1500"/>
        <w:gridCol w:w="1600"/>
        <w:gridCol w:w="1100"/>
        <w:gridCol w:w="1760"/>
        <w:gridCol w:w="900"/>
      </w:tblGrid>
      <w:tr>
        <w:trPr>
          <w:tblHeader w:val="true"/>
          <w:cantSplit/>
        </w:trPr>
        <w:tc>
          <w:tcPr>
            <w:tcW w:type="dxa" w:w="12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Model</w:t>
            </w:r>
          </w:p>
        </w:tc>
        <w:tc>
          <w:tcPr>
            <w:tcW w:type="dxa" w:w="12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Dataset</w:t>
            </w:r>
          </w:p>
        </w:tc>
        <w:tc>
          <w:tcPr>
            <w:tcW w:type="dxa" w:w="15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Author metric</w:t>
            </w:r>
          </w:p>
        </w:tc>
        <w:tc>
          <w:tcPr>
            <w:tcW w:type="dxa" w:w="16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Reproduced metric</w:t>
            </w:r>
          </w:p>
        </w:tc>
        <w:tc>
          <w:tcPr>
            <w:tcW w:type="dxa" w:w="11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Difference</w:t>
            </w:r>
          </w:p>
        </w:tc>
        <w:tc>
          <w:tcPr>
            <w:tcW w:type="dxa" w:w="176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Config/run evidence</w:t>
            </w:r>
          </w:p>
        </w:tc>
        <w:tc>
          <w:tcPr>
            <w:tcW w:type="dxa" w:w="9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7"/>
              </w:rPr>
              <w:t>Status</w:t>
            </w:r>
          </w:p>
        </w:tc>
      </w:tr>
      <w:tr>
        <w:trPr>
          <w:cantSplit/>
        </w:trPr>
        <w:tc>
          <w:tcPr>
            <w:tcW w:type="dxa" w:w="1250"/>
          </w:tcPr>
          <w:p>
            <w:pPr>
              <w:spacing w:before="0" w:after="0" w:line="259" w:lineRule="auto"/>
              <w:jc w:val="center"/>
            </w:pPr>
            <w:r/>
            <w:r>
              <w:rPr>
                <w:rFonts w:ascii="Calibri" w:hAnsi="Calibri"/>
                <w:b w:val="0"/>
                <w:color w:val="0B2545"/>
                <w:sz w:val="17"/>
              </w:rPr>
              <w:t>Example</w:t>
            </w:r>
          </w:p>
        </w:tc>
        <w:tc>
          <w:tcPr>
            <w:tcW w:type="dxa" w:w="1250"/>
          </w:tcPr>
          <w:p>
            <w:pPr>
              <w:spacing w:before="0" w:after="0" w:line="259" w:lineRule="auto"/>
              <w:jc w:val="left"/>
            </w:pPr>
            <w:r/>
            <w:r>
              <w:rPr>
                <w:rFonts w:ascii="Calibri" w:hAnsi="Calibri"/>
                <w:b w:val="0"/>
                <w:color w:val="0B2545"/>
                <w:sz w:val="17"/>
              </w:rPr>
              <w:t>YelpChi</w:t>
            </w:r>
          </w:p>
        </w:tc>
        <w:tc>
          <w:tcPr>
            <w:tcW w:type="dxa" w:w="1500"/>
          </w:tcPr>
          <w:p>
            <w:pPr>
              <w:spacing w:before="0" w:after="0" w:line="259" w:lineRule="auto"/>
              <w:jc w:val="left"/>
            </w:pPr>
            <w:r/>
            <w:r>
              <w:rPr>
                <w:rFonts w:ascii="Calibri" w:hAnsi="Calibri"/>
                <w:b w:val="0"/>
                <w:color w:val="0B2545"/>
                <w:sz w:val="17"/>
              </w:rPr>
              <w:t>Paper mean +/- SD</w:t>
            </w:r>
          </w:p>
        </w:tc>
        <w:tc>
          <w:tcPr>
            <w:tcW w:type="dxa" w:w="1600"/>
          </w:tcPr>
          <w:p>
            <w:pPr>
              <w:spacing w:before="0" w:after="0" w:line="259" w:lineRule="auto"/>
              <w:jc w:val="left"/>
            </w:pPr>
            <w:r/>
            <w:r>
              <w:rPr>
                <w:rFonts w:ascii="Calibri" w:hAnsi="Calibri"/>
                <w:b w:val="0"/>
                <w:color w:val="0B2545"/>
                <w:sz w:val="17"/>
              </w:rPr>
              <w:t>Our mean +/- SD</w:t>
            </w:r>
          </w:p>
        </w:tc>
        <w:tc>
          <w:tcPr>
            <w:tcW w:type="dxa" w:w="1100"/>
          </w:tcPr>
          <w:p>
            <w:pPr>
              <w:spacing w:before="0" w:after="0" w:line="259" w:lineRule="auto"/>
              <w:jc w:val="left"/>
            </w:pPr>
            <w:r/>
            <w:r>
              <w:rPr>
                <w:rFonts w:ascii="Calibri" w:hAnsi="Calibri"/>
                <w:b w:val="0"/>
                <w:color w:val="0B2545"/>
                <w:sz w:val="17"/>
              </w:rPr>
              <w:t>Absolute points</w:t>
            </w:r>
          </w:p>
        </w:tc>
        <w:tc>
          <w:tcPr>
            <w:tcW w:type="dxa" w:w="1760"/>
          </w:tcPr>
          <w:p>
            <w:pPr>
              <w:spacing w:before="0" w:after="0" w:line="259" w:lineRule="auto"/>
              <w:jc w:val="left"/>
            </w:pPr>
            <w:r/>
            <w:r>
              <w:rPr>
                <w:rFonts w:ascii="Calibri" w:hAnsi="Calibri"/>
                <w:b w:val="0"/>
                <w:color w:val="0B2545"/>
                <w:sz w:val="17"/>
              </w:rPr>
              <w:t>run_id + config</w:t>
            </w:r>
          </w:p>
        </w:tc>
        <w:tc>
          <w:tcPr>
            <w:tcW w:type="dxa" w:w="900"/>
          </w:tcPr>
          <w:p>
            <w:pPr>
              <w:spacing w:before="0" w:after="0" w:line="259" w:lineRule="auto"/>
              <w:jc w:val="left"/>
            </w:pPr>
            <w:r/>
            <w:r>
              <w:rPr>
                <w:rFonts w:ascii="Calibri" w:hAnsi="Calibri"/>
                <w:b w:val="0"/>
                <w:color w:val="0B2545"/>
                <w:sz w:val="17"/>
              </w:rPr>
              <w:t>PASS / CONDITIONAL / FAIL</w:t>
            </w:r>
          </w:p>
        </w:tc>
      </w:tr>
    </w:tbl>
    <w:p>
      <w:pPr>
        <w:spacing w:after="0"/>
      </w:pPr>
    </w:p>
    <w:p>
      <w:pPr>
        <w:pStyle w:val="Heading2"/>
      </w:pPr>
      <w:r>
        <w:t>Controlled training-ratio results</w:t>
      </w:r>
    </w:p>
    <w:tbl>
      <w:tblPr>
        <w:tblStyle w:val="TableGrid"/>
        <w:tblW w:type="dxa" w:w="9360"/>
        <w:jc w:val="left"/>
        <w:tblLayout w:type="fixed"/>
        <w:tblLook w:firstColumn="1" w:firstRow="1" w:lastColumn="0" w:lastRow="0" w:noHBand="0" w:noVBand="1" w:val="04A0"/>
        <w:tblInd w:w="120" w:type="dxa"/>
      </w:tblPr>
      <w:tblGrid>
        <w:gridCol w:w="1050"/>
        <w:gridCol w:w="1150"/>
        <w:gridCol w:w="750"/>
        <w:gridCol w:w="750"/>
        <w:gridCol w:w="750"/>
        <w:gridCol w:w="750"/>
        <w:gridCol w:w="750"/>
        <w:gridCol w:w="1600"/>
        <w:gridCol w:w="1810"/>
      </w:tblGrid>
      <w:tr>
        <w:trPr>
          <w:tblHeader w:val="true"/>
          <w:cantSplit/>
        </w:trPr>
        <w:tc>
          <w:tcPr>
            <w:tcW w:type="dxa" w:w="10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Model</w:t>
            </w:r>
          </w:p>
        </w:tc>
        <w:tc>
          <w:tcPr>
            <w:tcW w:type="dxa" w:w="1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Dataset</w:t>
            </w:r>
          </w:p>
        </w:tc>
        <w:tc>
          <w:tcPr>
            <w:tcW w:type="dxa" w:w="7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Seed</w:t>
            </w:r>
          </w:p>
        </w:tc>
        <w:tc>
          <w:tcPr>
            <w:tcW w:type="dxa" w:w="7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TR40</w:t>
            </w:r>
          </w:p>
        </w:tc>
        <w:tc>
          <w:tcPr>
            <w:tcW w:type="dxa" w:w="7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TR30</w:t>
            </w:r>
          </w:p>
        </w:tc>
        <w:tc>
          <w:tcPr>
            <w:tcW w:type="dxa" w:w="7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TR20</w:t>
            </w:r>
          </w:p>
        </w:tc>
        <w:tc>
          <w:tcPr>
            <w:tcW w:type="dxa" w:w="7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TR10</w:t>
            </w:r>
          </w:p>
        </w:tc>
        <w:tc>
          <w:tcPr>
            <w:tcW w:type="dxa" w:w="16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Metric</w:t>
            </w:r>
          </w:p>
        </w:tc>
        <w:tc>
          <w:tcPr>
            <w:tcW w:type="dxa" w:w="181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Notes</w:t>
            </w:r>
          </w:p>
        </w:tc>
      </w:tr>
      <w:tr>
        <w:trPr>
          <w:cantSplit/>
        </w:trPr>
        <w:tc>
          <w:tcPr>
            <w:tcW w:type="dxa" w:w="1050"/>
          </w:tcPr>
          <w:p>
            <w:pPr>
              <w:spacing w:before="0" w:after="0" w:line="259" w:lineRule="auto"/>
              <w:jc w:val="center"/>
            </w:pPr>
            <w:r/>
            <w:r>
              <w:rPr>
                <w:rFonts w:ascii="Calibri" w:hAnsi="Calibri"/>
                <w:b w:val="0"/>
                <w:color w:val="0B2545"/>
                <w:sz w:val="16"/>
              </w:rPr>
              <w:t>Example</w:t>
            </w:r>
          </w:p>
        </w:tc>
        <w:tc>
          <w:tcPr>
            <w:tcW w:type="dxa" w:w="1150"/>
          </w:tcPr>
          <w:p>
            <w:pPr>
              <w:spacing w:before="0" w:after="0" w:line="259" w:lineRule="auto"/>
              <w:jc w:val="left"/>
            </w:pPr>
            <w:r/>
            <w:r>
              <w:rPr>
                <w:rFonts w:ascii="Calibri" w:hAnsi="Calibri"/>
                <w:b w:val="0"/>
                <w:color w:val="0B2545"/>
                <w:sz w:val="16"/>
              </w:rPr>
              <w:t>YelpChi</w:t>
            </w:r>
          </w:p>
        </w:tc>
        <w:tc>
          <w:tcPr>
            <w:tcW w:type="dxa" w:w="750"/>
          </w:tcPr>
          <w:p>
            <w:pPr>
              <w:spacing w:before="0" w:after="0" w:line="259" w:lineRule="auto"/>
              <w:jc w:val="left"/>
            </w:pPr>
            <w:r/>
            <w:r>
              <w:rPr>
                <w:rFonts w:ascii="Calibri" w:hAnsi="Calibri"/>
                <w:b w:val="0"/>
                <w:color w:val="0B2545"/>
                <w:sz w:val="16"/>
              </w:rPr>
              <w:t>locked</w:t>
            </w:r>
          </w:p>
        </w:tc>
        <w:tc>
          <w:tcPr>
            <w:tcW w:type="dxa" w:w="750"/>
          </w:tcPr>
          <w:p>
            <w:pPr>
              <w:spacing w:before="0" w:after="0" w:line="259" w:lineRule="auto"/>
              <w:jc w:val="left"/>
            </w:pPr>
            <w:r/>
            <w:r>
              <w:rPr>
                <w:rFonts w:ascii="Calibri" w:hAnsi="Calibri"/>
                <w:b w:val="0"/>
                <w:color w:val="0B2545"/>
                <w:sz w:val="16"/>
              </w:rPr>
              <w:t>-</w:t>
            </w:r>
          </w:p>
        </w:tc>
        <w:tc>
          <w:tcPr>
            <w:tcW w:type="dxa" w:w="750"/>
          </w:tcPr>
          <w:p>
            <w:pPr>
              <w:spacing w:before="0" w:after="0" w:line="259" w:lineRule="auto"/>
              <w:jc w:val="left"/>
            </w:pPr>
            <w:r/>
            <w:r>
              <w:rPr>
                <w:rFonts w:ascii="Calibri" w:hAnsi="Calibri"/>
                <w:b w:val="0"/>
                <w:color w:val="0B2545"/>
                <w:sz w:val="16"/>
              </w:rPr>
              <w:t>-</w:t>
            </w:r>
          </w:p>
        </w:tc>
        <w:tc>
          <w:tcPr>
            <w:tcW w:type="dxa" w:w="750"/>
          </w:tcPr>
          <w:p>
            <w:pPr>
              <w:spacing w:before="0" w:after="0" w:line="259" w:lineRule="auto"/>
              <w:jc w:val="left"/>
            </w:pPr>
            <w:r/>
            <w:r>
              <w:rPr>
                <w:rFonts w:ascii="Calibri" w:hAnsi="Calibri"/>
                <w:b w:val="0"/>
                <w:color w:val="0B2545"/>
                <w:sz w:val="16"/>
              </w:rPr>
              <w:t>-</w:t>
            </w:r>
          </w:p>
        </w:tc>
        <w:tc>
          <w:tcPr>
            <w:tcW w:type="dxa" w:w="750"/>
          </w:tcPr>
          <w:p>
            <w:pPr>
              <w:spacing w:before="0" w:after="0" w:line="259" w:lineRule="auto"/>
              <w:jc w:val="left"/>
            </w:pPr>
            <w:r/>
            <w:r>
              <w:rPr>
                <w:rFonts w:ascii="Calibri" w:hAnsi="Calibri"/>
                <w:b w:val="0"/>
                <w:color w:val="0B2545"/>
                <w:sz w:val="16"/>
              </w:rPr>
              <w:t>-</w:t>
            </w:r>
          </w:p>
        </w:tc>
        <w:tc>
          <w:tcPr>
            <w:tcW w:type="dxa" w:w="1600"/>
          </w:tcPr>
          <w:p>
            <w:pPr>
              <w:spacing w:before="0" w:after="0" w:line="259" w:lineRule="auto"/>
              <w:jc w:val="left"/>
            </w:pPr>
            <w:r/>
            <w:r>
              <w:rPr>
                <w:rFonts w:ascii="Calibri" w:hAnsi="Calibri"/>
                <w:b w:val="0"/>
                <w:color w:val="0B2545"/>
                <w:sz w:val="16"/>
              </w:rPr>
              <w:t>AUROC / AUPRC / F1</w:t>
            </w:r>
          </w:p>
        </w:tc>
        <w:tc>
          <w:tcPr>
            <w:tcW w:type="dxa" w:w="1810"/>
          </w:tcPr>
          <w:p>
            <w:pPr>
              <w:spacing w:before="0" w:after="0" w:line="259" w:lineRule="auto"/>
              <w:jc w:val="left"/>
            </w:pPr>
            <w:r/>
            <w:r>
              <w:rPr>
                <w:rFonts w:ascii="Calibri" w:hAnsi="Calibri"/>
                <w:b w:val="0"/>
                <w:color w:val="0B2545"/>
                <w:sz w:val="16"/>
              </w:rPr>
              <w:t>Same validation/test IDs</w:t>
            </w:r>
          </w:p>
        </w:tc>
      </w:tr>
    </w:tbl>
    <w:p>
      <w:pPr>
        <w:spacing w:after="0"/>
      </w:pPr>
    </w:p>
    <w:p>
      <w:pPr>
        <w:pStyle w:val="Heading2"/>
      </w:pPr>
      <w:r>
        <w:t>Timing and resource record</w:t>
      </w:r>
    </w:p>
    <w:tbl>
      <w:tblPr>
        <w:tblStyle w:val="TableGrid"/>
        <w:tblW w:type="dxa" w:w="9360"/>
        <w:jc w:val="left"/>
        <w:tblLayout w:type="fixed"/>
        <w:tblLook w:firstColumn="1" w:firstRow="1" w:lastColumn="0" w:lastRow="0" w:noHBand="0" w:noVBand="1" w:val="04A0"/>
        <w:tblInd w:w="120" w:type="dxa"/>
      </w:tblPr>
      <w:tblGrid>
        <w:gridCol w:w="900"/>
        <w:gridCol w:w="1350"/>
        <w:gridCol w:w="1100"/>
        <w:gridCol w:w="850"/>
        <w:gridCol w:w="1150"/>
        <w:gridCol w:w="1150"/>
        <w:gridCol w:w="1050"/>
        <w:gridCol w:w="1100"/>
        <w:gridCol w:w="710"/>
      </w:tblGrid>
      <w:tr>
        <w:trPr>
          <w:tblHeader w:val="true"/>
          <w:cantSplit/>
        </w:trPr>
        <w:tc>
          <w:tcPr>
            <w:tcW w:type="dxa" w:w="9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Run ID</w:t>
            </w:r>
          </w:p>
        </w:tc>
        <w:tc>
          <w:tcPr>
            <w:tcW w:type="dxa" w:w="13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Model/data</w:t>
            </w:r>
          </w:p>
        </w:tc>
        <w:tc>
          <w:tcPr>
            <w:tcW w:type="dxa" w:w="11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GPU</w:t>
            </w:r>
          </w:p>
        </w:tc>
        <w:tc>
          <w:tcPr>
            <w:tcW w:type="dxa" w:w="8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Epochs</w:t>
            </w:r>
          </w:p>
        </w:tc>
        <w:tc>
          <w:tcPr>
            <w:tcW w:type="dxa" w:w="1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Total train</w:t>
            </w:r>
          </w:p>
        </w:tc>
        <w:tc>
          <w:tcPr>
            <w:tcW w:type="dxa" w:w="11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Mean epoch</w:t>
            </w:r>
          </w:p>
        </w:tc>
        <w:tc>
          <w:tcPr>
            <w:tcW w:type="dxa" w:w="105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Inference</w:t>
            </w:r>
          </w:p>
        </w:tc>
        <w:tc>
          <w:tcPr>
            <w:tcW w:type="dxa" w:w="11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Peak memory</w:t>
            </w:r>
          </w:p>
        </w:tc>
        <w:tc>
          <w:tcPr>
            <w:tcW w:type="dxa" w:w="71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6"/>
              </w:rPr>
              <w:t>Notes</w:t>
            </w:r>
          </w:p>
        </w:tc>
      </w:tr>
      <w:tr>
        <w:trPr>
          <w:cantSplit/>
        </w:trPr>
        <w:tc>
          <w:tcPr>
            <w:tcW w:type="dxa" w:w="900"/>
          </w:tcPr>
          <w:p>
            <w:pPr>
              <w:spacing w:before="0" w:after="0" w:line="259" w:lineRule="auto"/>
              <w:jc w:val="center"/>
            </w:pPr>
            <w:r/>
            <w:r>
              <w:rPr>
                <w:rFonts w:ascii="Calibri" w:hAnsi="Calibri"/>
                <w:b w:val="0"/>
                <w:color w:val="0B2545"/>
                <w:sz w:val="16"/>
              </w:rPr>
              <w:t>example</w:t>
            </w:r>
          </w:p>
        </w:tc>
        <w:tc>
          <w:tcPr>
            <w:tcW w:type="dxa" w:w="1350"/>
          </w:tcPr>
          <w:p>
            <w:pPr>
              <w:spacing w:before="0" w:after="0" w:line="259" w:lineRule="auto"/>
              <w:jc w:val="left"/>
            </w:pPr>
            <w:r/>
            <w:r>
              <w:rPr>
                <w:rFonts w:ascii="Calibri" w:hAnsi="Calibri"/>
                <w:b w:val="0"/>
                <w:color w:val="0B2545"/>
                <w:sz w:val="16"/>
              </w:rPr>
              <w:t>model / dataset</w:t>
            </w:r>
          </w:p>
        </w:tc>
        <w:tc>
          <w:tcPr>
            <w:tcW w:type="dxa" w:w="1100"/>
          </w:tcPr>
          <w:p>
            <w:pPr>
              <w:spacing w:before="0" w:after="0" w:line="259" w:lineRule="auto"/>
              <w:jc w:val="left"/>
            </w:pPr>
            <w:r/>
            <w:r>
              <w:rPr>
                <w:rFonts w:ascii="Calibri" w:hAnsi="Calibri"/>
                <w:b w:val="0"/>
                <w:color w:val="0B2545"/>
                <w:sz w:val="16"/>
              </w:rPr>
              <w:t>T4 GPU 0</w:t>
            </w:r>
          </w:p>
        </w:tc>
        <w:tc>
          <w:tcPr>
            <w:tcW w:type="dxa" w:w="850"/>
          </w:tcPr>
          <w:p>
            <w:pPr>
              <w:spacing w:before="0" w:after="0" w:line="259" w:lineRule="auto"/>
              <w:jc w:val="left"/>
            </w:pPr>
            <w:r/>
            <w:r>
              <w:rPr>
                <w:rFonts w:ascii="Calibri" w:hAnsi="Calibri"/>
                <w:b w:val="0"/>
                <w:color w:val="0B2545"/>
                <w:sz w:val="16"/>
              </w:rPr>
              <w:t>-</w:t>
            </w:r>
          </w:p>
        </w:tc>
        <w:tc>
          <w:tcPr>
            <w:tcW w:type="dxa" w:w="1150"/>
          </w:tcPr>
          <w:p>
            <w:pPr>
              <w:spacing w:before="0" w:after="0" w:line="259" w:lineRule="auto"/>
              <w:jc w:val="left"/>
            </w:pPr>
            <w:r/>
            <w:r>
              <w:rPr>
                <w:rFonts w:ascii="Calibri" w:hAnsi="Calibri"/>
                <w:b w:val="0"/>
                <w:color w:val="0B2545"/>
                <w:sz w:val="16"/>
              </w:rPr>
              <w:t>-</w:t>
            </w:r>
          </w:p>
        </w:tc>
        <w:tc>
          <w:tcPr>
            <w:tcW w:type="dxa" w:w="1150"/>
          </w:tcPr>
          <w:p>
            <w:pPr>
              <w:spacing w:before="0" w:after="0" w:line="259" w:lineRule="auto"/>
              <w:jc w:val="left"/>
            </w:pPr>
            <w:r/>
            <w:r>
              <w:rPr>
                <w:rFonts w:ascii="Calibri" w:hAnsi="Calibri"/>
                <w:b w:val="0"/>
                <w:color w:val="0B2545"/>
                <w:sz w:val="16"/>
              </w:rPr>
              <w:t>-</w:t>
            </w:r>
          </w:p>
        </w:tc>
        <w:tc>
          <w:tcPr>
            <w:tcW w:type="dxa" w:w="1050"/>
          </w:tcPr>
          <w:p>
            <w:pPr>
              <w:spacing w:before="0" w:after="0" w:line="259" w:lineRule="auto"/>
              <w:jc w:val="left"/>
            </w:pPr>
            <w:r/>
            <w:r>
              <w:rPr>
                <w:rFonts w:ascii="Calibri" w:hAnsi="Calibri"/>
                <w:b w:val="0"/>
                <w:color w:val="0B2545"/>
                <w:sz w:val="16"/>
              </w:rPr>
              <w:t>-</w:t>
            </w:r>
          </w:p>
        </w:tc>
        <w:tc>
          <w:tcPr>
            <w:tcW w:type="dxa" w:w="1100"/>
          </w:tcPr>
          <w:p>
            <w:pPr>
              <w:spacing w:before="0" w:after="0" w:line="259" w:lineRule="auto"/>
              <w:jc w:val="left"/>
            </w:pPr>
            <w:r/>
            <w:r>
              <w:rPr>
                <w:rFonts w:ascii="Calibri" w:hAnsi="Calibri"/>
                <w:b w:val="0"/>
                <w:color w:val="0B2545"/>
                <w:sz w:val="16"/>
              </w:rPr>
              <w:t>-</w:t>
            </w:r>
          </w:p>
        </w:tc>
        <w:tc>
          <w:tcPr>
            <w:tcW w:type="dxa" w:w="710"/>
          </w:tcPr>
          <w:p>
            <w:pPr>
              <w:spacing w:before="0" w:after="0" w:line="259" w:lineRule="auto"/>
              <w:jc w:val="left"/>
            </w:pPr>
            <w:r/>
            <w:r>
              <w:rPr>
                <w:rFonts w:ascii="Calibri" w:hAnsi="Calibri"/>
                <w:b w:val="0"/>
                <w:color w:val="0B2545"/>
                <w:sz w:val="16"/>
              </w:rPr>
              <w:t>same timing boundaries</w:t>
            </w:r>
          </w:p>
        </w:tc>
      </w:tr>
    </w:tbl>
    <w:p>
      <w:pPr>
        <w:spacing w:after="0"/>
      </w:pPr>
    </w:p>
    <w:p>
      <w:pPr>
        <w:pStyle w:val="Heading1"/>
      </w:pPr>
      <w:r>
        <w:t>10. Five-day execution plan</w:t>
      </w:r>
    </w:p>
    <w:tbl>
      <w:tblPr>
        <w:tblStyle w:val="TableGrid"/>
        <w:tblW w:type="dxa" w:w="9360"/>
        <w:jc w:val="left"/>
        <w:tblLayout w:type="fixed"/>
        <w:tblLook w:firstColumn="1" w:firstRow="1" w:lastColumn="0" w:lastRow="0" w:noHBand="0" w:noVBand="1" w:val="04A0"/>
        <w:tblInd w:w="120" w:type="dxa"/>
      </w:tblPr>
      <w:tblGrid>
        <w:gridCol w:w="1300"/>
        <w:gridCol w:w="4300"/>
        <w:gridCol w:w="3760"/>
      </w:tblGrid>
      <w:tr>
        <w:trPr>
          <w:tblHeader w:val="true"/>
          <w:cantSplit/>
        </w:trPr>
        <w:tc>
          <w:tcPr>
            <w:tcW w:type="dxa" w:w="130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When</w:t>
            </w:r>
          </w:p>
        </w:tc>
        <w:tc>
          <w:tcPr>
            <w:tcW w:type="dxa" w:w="430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Team deliverable</w:t>
            </w:r>
          </w:p>
        </w:tc>
        <w:tc>
          <w:tcPr>
            <w:tcW w:type="dxa" w:w="3760"/>
            <w:vAlign w:val="center"/>
            <w:tcMar>
              <w:top w:w="80" w:type="dxa"/>
              <w:start w:w="120" w:type="dxa"/>
              <w:bottom w:w="80" w:type="dxa"/>
              <w:end w:w="120" w:type="dxa"/>
            </w:tcMar>
            <w:shd w:fill="1F4D78" w:val="clear"/>
          </w:tcPr>
          <w:p>
            <w:pPr>
              <w:spacing w:before="0" w:after="0" w:line="259" w:lineRule="auto"/>
              <w:jc w:val="center"/>
            </w:pPr>
            <w:r/>
            <w:r>
              <w:rPr>
                <w:rFonts w:ascii="Calibri" w:hAnsi="Calibri"/>
                <w:b/>
                <w:color w:val="FFFFFF"/>
                <w:sz w:val="17"/>
              </w:rPr>
              <w:t>Acceptance check</w:t>
            </w:r>
          </w:p>
        </w:tc>
      </w:tr>
      <w:tr>
        <w:trPr>
          <w:cantSplit/>
        </w:trPr>
        <w:tc>
          <w:tcPr>
            <w:tcW w:type="dxa" w:w="1300"/>
          </w:tcPr>
          <w:p>
            <w:pPr>
              <w:spacing w:before="0" w:after="0" w:line="259" w:lineRule="auto"/>
              <w:jc w:val="center"/>
            </w:pPr>
            <w:r/>
            <w:r>
              <w:rPr>
                <w:rFonts w:ascii="Calibri" w:hAnsi="Calibri"/>
                <w:b w:val="0"/>
                <w:color w:val="0B2545"/>
                <w:sz w:val="17"/>
              </w:rPr>
              <w:t>Day 1</w:t>
            </w:r>
          </w:p>
        </w:tc>
        <w:tc>
          <w:tcPr>
            <w:tcW w:type="dxa" w:w="4300"/>
          </w:tcPr>
          <w:p>
            <w:pPr>
              <w:spacing w:before="0" w:after="0" w:line="259" w:lineRule="auto"/>
              <w:jc w:val="left"/>
            </w:pPr>
            <w:r/>
            <w:r>
              <w:rPr>
                <w:rFonts w:ascii="Calibri" w:hAnsi="Calibri"/>
                <w:b w:val="0"/>
                <w:color w:val="0B2545"/>
                <w:sz w:val="17"/>
              </w:rPr>
              <w:t>Recheck all six dataset rows; verify heterophily numerators/denominators; freeze split files; update repository structure.</w:t>
            </w:r>
          </w:p>
        </w:tc>
        <w:tc>
          <w:tcPr>
            <w:tcW w:type="dxa" w:w="3760"/>
          </w:tcPr>
          <w:p>
            <w:pPr>
              <w:spacing w:before="0" w:after="0" w:line="259" w:lineRule="auto"/>
              <w:jc w:val="left"/>
            </w:pPr>
            <w:r/>
            <w:r>
              <w:rPr>
                <w:rFonts w:ascii="Calibri" w:hAnsi="Calibri"/>
                <w:b w:val="0"/>
                <w:color w:val="0B2545"/>
                <w:sz w:val="17"/>
              </w:rPr>
              <w:t>Each dataset has source, graph convention, label provenance, original split and local/global H evidence.</w:t>
            </w:r>
          </w:p>
        </w:tc>
      </w:tr>
      <w:tr>
        <w:trPr>
          <w:cantSplit/>
        </w:trPr>
        <w:tc>
          <w:tcPr>
            <w:tcW w:type="dxa" w:w="1300"/>
            <w:shd w:fill="F2F4F7" w:val="clear"/>
          </w:tcPr>
          <w:p>
            <w:pPr>
              <w:spacing w:before="0" w:after="0" w:line="259" w:lineRule="auto"/>
              <w:jc w:val="center"/>
            </w:pPr>
            <w:r/>
            <w:r>
              <w:rPr>
                <w:rFonts w:ascii="Calibri" w:hAnsi="Calibri"/>
                <w:b w:val="0"/>
                <w:color w:val="0B2545"/>
                <w:sz w:val="17"/>
              </w:rPr>
              <w:t>Days 1-2</w:t>
            </w:r>
          </w:p>
        </w:tc>
        <w:tc>
          <w:tcPr>
            <w:tcW w:type="dxa" w:w="4300"/>
            <w:shd w:fill="F2F4F7" w:val="clear"/>
          </w:tcPr>
          <w:p>
            <w:pPr>
              <w:spacing w:before="0" w:after="0" w:line="259" w:lineRule="auto"/>
              <w:jc w:val="left"/>
            </w:pPr>
            <w:r/>
            <w:r>
              <w:rPr>
                <w:rFonts w:ascii="Calibri" w:hAnsi="Calibri"/>
                <w:b w:val="0"/>
                <w:color w:val="0B2545"/>
                <w:sz w:val="17"/>
              </w:rPr>
              <w:t>Clone all eight repositories, record commits, build isolated environments and perform a minimal smoke test.</w:t>
            </w:r>
          </w:p>
        </w:tc>
        <w:tc>
          <w:tcPr>
            <w:tcW w:type="dxa" w:w="3760"/>
            <w:shd w:fill="F2F4F7" w:val="clear"/>
          </w:tcPr>
          <w:p>
            <w:pPr>
              <w:spacing w:before="0" w:after="0" w:line="259" w:lineRule="auto"/>
              <w:jc w:val="left"/>
            </w:pPr>
            <w:r/>
            <w:r>
              <w:rPr>
                <w:rFonts w:ascii="Calibri" w:hAnsi="Calibri"/>
                <w:b w:val="0"/>
                <w:color w:val="0B2545"/>
                <w:sz w:val="17"/>
              </w:rPr>
              <w:t>Every model marked PASS, CONDITIONAL or FAIL with an error log.</w:t>
            </w:r>
          </w:p>
        </w:tc>
      </w:tr>
      <w:tr>
        <w:trPr>
          <w:cantSplit/>
        </w:trPr>
        <w:tc>
          <w:tcPr>
            <w:tcW w:type="dxa" w:w="1300"/>
          </w:tcPr>
          <w:p>
            <w:pPr>
              <w:spacing w:before="0" w:after="0" w:line="259" w:lineRule="auto"/>
              <w:jc w:val="center"/>
            </w:pPr>
            <w:r/>
            <w:r>
              <w:rPr>
                <w:rFonts w:ascii="Calibri" w:hAnsi="Calibri"/>
                <w:b w:val="0"/>
                <w:color w:val="0B2545"/>
                <w:sz w:val="17"/>
              </w:rPr>
              <w:t>Days 2-4</w:t>
            </w:r>
          </w:p>
        </w:tc>
        <w:tc>
          <w:tcPr>
            <w:tcW w:type="dxa" w:w="4300"/>
          </w:tcPr>
          <w:p>
            <w:pPr>
              <w:spacing w:before="0" w:after="0" w:line="259" w:lineRule="auto"/>
              <w:jc w:val="left"/>
            </w:pPr>
            <w:r/>
            <w:r>
              <w:rPr>
                <w:rFonts w:ascii="Calibri" w:hAnsi="Calibri"/>
                <w:b w:val="0"/>
                <w:color w:val="0B2545"/>
                <w:sz w:val="17"/>
              </w:rPr>
              <w:t>For each model, reproduce one author-supported run and save the full author configuration plus timing.</w:t>
            </w:r>
          </w:p>
        </w:tc>
        <w:tc>
          <w:tcPr>
            <w:tcW w:type="dxa" w:w="3760"/>
          </w:tcPr>
          <w:p>
            <w:pPr>
              <w:spacing w:before="0" w:after="0" w:line="259" w:lineRule="auto"/>
              <w:jc w:val="left"/>
            </w:pPr>
            <w:r/>
            <w:r>
              <w:rPr>
                <w:rFonts w:ascii="Calibri" w:hAnsi="Calibri"/>
                <w:b w:val="0"/>
                <w:color w:val="0B2545"/>
                <w:sz w:val="17"/>
              </w:rPr>
              <w:t>Author metric, reproduced metric, difference, hardware, seed, log and config captured.</w:t>
            </w:r>
          </w:p>
        </w:tc>
      </w:tr>
      <w:tr>
        <w:trPr>
          <w:cantSplit/>
        </w:trPr>
        <w:tc>
          <w:tcPr>
            <w:tcW w:type="dxa" w:w="1300"/>
            <w:shd w:fill="F2F4F7" w:val="clear"/>
          </w:tcPr>
          <w:p>
            <w:pPr>
              <w:spacing w:before="0" w:after="0" w:line="259" w:lineRule="auto"/>
              <w:jc w:val="center"/>
            </w:pPr>
            <w:r/>
            <w:r>
              <w:rPr>
                <w:rFonts w:ascii="Calibri" w:hAnsi="Calibri"/>
                <w:b w:val="0"/>
                <w:color w:val="0B2545"/>
                <w:sz w:val="17"/>
              </w:rPr>
              <w:t>Days 3-4</w:t>
            </w:r>
          </w:p>
        </w:tc>
        <w:tc>
          <w:tcPr>
            <w:tcW w:type="dxa" w:w="4300"/>
            <w:shd w:fill="F2F4F7" w:val="clear"/>
          </w:tcPr>
          <w:p>
            <w:pPr>
              <w:spacing w:before="0" w:after="0" w:line="259" w:lineRule="auto"/>
              <w:jc w:val="left"/>
            </w:pPr>
            <w:r/>
            <w:r>
              <w:rPr>
                <w:rFonts w:ascii="Calibri" w:hAnsi="Calibri"/>
                <w:b w:val="0"/>
                <w:color w:val="0B2545"/>
                <w:sz w:val="17"/>
              </w:rPr>
              <w:t>Run TR40/TR30/TR20/TR10 on at least one native suitable dataset per model using frozen validation/test IDs.</w:t>
            </w:r>
          </w:p>
        </w:tc>
        <w:tc>
          <w:tcPr>
            <w:tcW w:type="dxa" w:w="3760"/>
            <w:shd w:fill="F2F4F7" w:val="clear"/>
          </w:tcPr>
          <w:p>
            <w:pPr>
              <w:spacing w:before="0" w:after="0" w:line="259" w:lineRule="auto"/>
              <w:jc w:val="left"/>
            </w:pPr>
            <w:r/>
            <w:r>
              <w:rPr>
                <w:rFonts w:ascii="Calibri" w:hAnsi="Calibri"/>
                <w:b w:val="0"/>
                <w:color w:val="0B2545"/>
                <w:sz w:val="17"/>
              </w:rPr>
              <w:t>No test-set tuning; four labelled-training results saved under a common evaluator.</w:t>
            </w:r>
          </w:p>
        </w:tc>
      </w:tr>
      <w:tr>
        <w:trPr>
          <w:cantSplit/>
        </w:trPr>
        <w:tc>
          <w:tcPr>
            <w:tcW w:type="dxa" w:w="1300"/>
          </w:tcPr>
          <w:p>
            <w:pPr>
              <w:spacing w:before="0" w:after="0" w:line="259" w:lineRule="auto"/>
              <w:jc w:val="center"/>
            </w:pPr>
            <w:r/>
            <w:r>
              <w:rPr>
                <w:rFonts w:ascii="Calibri" w:hAnsi="Calibri"/>
                <w:b w:val="0"/>
                <w:color w:val="0B2545"/>
                <w:sz w:val="17"/>
              </w:rPr>
              <w:t>Day 5</w:t>
            </w:r>
          </w:p>
        </w:tc>
        <w:tc>
          <w:tcPr>
            <w:tcW w:type="dxa" w:w="4300"/>
          </w:tcPr>
          <w:p>
            <w:pPr>
              <w:spacing w:before="0" w:after="0" w:line="259" w:lineRule="auto"/>
              <w:jc w:val="left"/>
            </w:pPr>
            <w:r/>
            <w:r>
              <w:rPr>
                <w:rFonts w:ascii="Calibri" w:hAnsi="Calibri"/>
                <w:b w:val="0"/>
                <w:color w:val="0B2545"/>
                <w:sz w:val="17"/>
              </w:rPr>
              <w:t>Merge model, dataset, performance, timing, failure and limitation tables into the meeting pack.</w:t>
            </w:r>
          </w:p>
        </w:tc>
        <w:tc>
          <w:tcPr>
            <w:tcW w:type="dxa" w:w="3760"/>
          </w:tcPr>
          <w:p>
            <w:pPr>
              <w:spacing w:before="0" w:after="0" w:line="259" w:lineRule="auto"/>
              <w:jc w:val="left"/>
            </w:pPr>
            <w:r/>
            <w:r>
              <w:rPr>
                <w:rFonts w:ascii="Calibri" w:hAnsi="Calibri"/>
                <w:b w:val="0"/>
                <w:color w:val="0B2545"/>
                <w:sz w:val="17"/>
              </w:rPr>
              <w:t>Every reported number traces to a run ID and saved config.</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6" w:val="clear"/>
          </w:tcPr>
          <w:p>
            <w:pPr>
              <w:spacing w:after="0"/>
            </w:pPr>
            <w:r>
              <w:rPr>
                <w:rFonts w:ascii="Calibri" w:hAnsi="Calibri"/>
                <w:b/>
                <w:color w:val="1F4D78"/>
                <w:sz w:val="21"/>
              </w:rPr>
              <w:t xml:space="preserve">Do not attempt the full benchmark this week: </w:t>
            </w:r>
            <w:r>
              <w:rPr>
                <w:rFonts w:ascii="Calibri" w:hAnsi="Calibri"/>
                <w:color w:val="0B2545"/>
                <w:sz w:val="21"/>
              </w:rPr>
              <w:t>Eight models x six datasets x four ratios x several seeds plus tuning would create hundreds of runs. The immediate target is eight verified model results and the controlled ratio experiment started on one suitable dataset per model. Expand only after the next supervisor review.</w:t>
            </w:r>
          </w:p>
        </w:tc>
      </w:tr>
    </w:tbl>
    <w:p>
      <w:pPr>
        <w:spacing w:after="0"/>
      </w:pPr>
    </w:p>
    <w:p>
      <w:pPr>
        <w:pStyle w:val="Heading1"/>
      </w:pPr>
      <w:r>
        <w:t>11. Feasibility and replacement gate</w:t>
      </w:r>
    </w:p>
    <w:p>
      <w:pPr>
        <w:numPr>
          <w:ilvl w:val="0"/>
          <w:numId w:val="10"/>
        </w:numPr>
        <w:spacing w:before="0" w:after="80" w:line="300" w:lineRule="auto"/>
      </w:pPr>
      <w:r>
        <w:rPr>
          <w:rFonts w:ascii="Calibri" w:hAnsi="Calibri"/>
          <w:color w:val="0B2545"/>
          <w:sz w:val="22"/>
        </w:rPr>
        <w:t>PASS: repository runs, returns fraud scores, records a stable configuration and can accept persistent splits/evaluator without changing its defining mechanism.</w:t>
      </w:r>
    </w:p>
    <w:p>
      <w:pPr>
        <w:numPr>
          <w:ilvl w:val="0"/>
          <w:numId w:val="10"/>
        </w:numPr>
        <w:spacing w:before="0" w:after="80" w:line="300" w:lineRule="auto"/>
      </w:pPr>
      <w:r>
        <w:rPr>
          <w:rFonts w:ascii="Calibri" w:hAnsi="Calibri"/>
          <w:color w:val="0B2545"/>
          <w:sz w:val="22"/>
        </w:rPr>
        <w:t>CONDITIONAL: runs only after a documented minimal compatibility fix, or native dataset coverage is narrow.</w:t>
      </w:r>
    </w:p>
    <w:p>
      <w:pPr>
        <w:numPr>
          <w:ilvl w:val="0"/>
          <w:numId w:val="10"/>
        </w:numPr>
        <w:spacing w:before="0" w:after="80" w:line="300" w:lineRule="auto"/>
      </w:pPr>
      <w:r>
        <w:rPr>
          <w:rFonts w:ascii="Calibri" w:hAnsi="Calibri"/>
          <w:color w:val="0B2545"/>
          <w:sz w:val="22"/>
        </w:rPr>
        <w:t>FAIL: unavailable data/code, unrecoverable dependencies, numerical failure, or adaptation would redesign the architecture.</w:t>
      </w:r>
    </w:p>
    <w:p>
      <w:pPr>
        <w:numPr>
          <w:ilvl w:val="0"/>
          <w:numId w:val="10"/>
        </w:numPr>
        <w:spacing w:before="0" w:after="80" w:line="300" w:lineRule="auto"/>
      </w:pPr>
      <w:r>
        <w:rPr>
          <w:rFonts w:ascii="Calibri" w:hAnsi="Calibri"/>
          <w:color w:val="0B2545"/>
          <w:sz w:val="22"/>
        </w:rPr>
        <w:t>Replacement decisions must use feasibility evidence only - never observed test performance.</w:t>
      </w:r>
    </w:p>
    <w:p>
      <w:pPr>
        <w:numPr>
          <w:ilvl w:val="0"/>
          <w:numId w:val="10"/>
        </w:numPr>
        <w:spacing w:before="0" w:after="80" w:line="300" w:lineRule="auto"/>
      </w:pPr>
      <w:r>
        <w:rPr>
          <w:rFonts w:ascii="Calibri" w:hAnsi="Calibri"/>
          <w:color w:val="0B2545"/>
          <w:sz w:val="22"/>
        </w:rPr>
        <w:t>Reserve order: SEC-GFD first, H2-FDetector second, GAGA third. Any reserve still requires an official-repository smoke test.</w:t>
      </w:r>
    </w:p>
    <w:p>
      <w:pPr>
        <w:pStyle w:val="Heading1"/>
      </w:pPr>
      <w:r>
        <w:t>12. Remaining inputs</w:t>
      </w:r>
    </w:p>
    <w:tbl>
      <w:tblPr>
        <w:tblStyle w:val="TableGrid"/>
        <w:tblW w:type="dxa" w:w="9360"/>
        <w:jc w:val="left"/>
        <w:tblLayout w:type="fixed"/>
        <w:tblLook w:firstColumn="1" w:firstRow="1" w:lastColumn="0" w:lastRow="0" w:noHBand="0" w:noVBand="1" w:val="04A0"/>
        <w:tblInd w:w="120" w:type="dxa"/>
      </w:tblPr>
      <w:tblGrid>
        <w:gridCol w:w="2900"/>
        <w:gridCol w:w="6460"/>
      </w:tblGrid>
      <w:tr>
        <w:trPr>
          <w:tblHeader w:val="true"/>
          <w:cantSplit/>
        </w:trPr>
        <w:tc>
          <w:tcPr>
            <w:tcW w:type="dxa" w:w="290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Missing decision/evidence</w:t>
            </w:r>
          </w:p>
        </w:tc>
        <w:tc>
          <w:tcPr>
            <w:tcW w:type="dxa" w:w="6460"/>
            <w:vAlign w:val="center"/>
            <w:tcMar>
              <w:top w:w="80" w:type="dxa"/>
              <w:start w:w="120" w:type="dxa"/>
              <w:bottom w:w="80" w:type="dxa"/>
              <w:end w:w="120" w:type="dxa"/>
            </w:tcMar>
            <w:shd w:fill="E8EEF5" w:val="clear"/>
          </w:tcPr>
          <w:p>
            <w:pPr>
              <w:spacing w:before="0" w:after="0" w:line="259" w:lineRule="auto"/>
              <w:jc w:val="center"/>
            </w:pPr>
            <w:r/>
            <w:r>
              <w:rPr>
                <w:rFonts w:ascii="Calibri" w:hAnsi="Calibri"/>
                <w:b/>
                <w:color w:val="0B2545"/>
                <w:sz w:val="18"/>
              </w:rPr>
              <w:t>Needed action</w:t>
            </w:r>
          </w:p>
        </w:tc>
      </w:tr>
      <w:tr>
        <w:trPr>
          <w:cantSplit/>
        </w:trPr>
        <w:tc>
          <w:tcPr>
            <w:tcW w:type="dxa" w:w="2900"/>
          </w:tcPr>
          <w:p>
            <w:pPr>
              <w:spacing w:before="0" w:after="0" w:line="259" w:lineRule="auto"/>
              <w:jc w:val="left"/>
            </w:pPr>
            <w:r/>
            <w:r>
              <w:rPr>
                <w:rFonts w:ascii="Calibri" w:hAnsi="Calibri"/>
                <w:b w:val="0"/>
                <w:color w:val="0B2545"/>
                <w:sz w:val="18"/>
              </w:rPr>
              <w:t>Team benchmark repository URL</w:t>
            </w:r>
          </w:p>
        </w:tc>
        <w:tc>
          <w:tcPr>
            <w:tcW w:type="dxa" w:w="6460"/>
          </w:tcPr>
          <w:p>
            <w:pPr>
              <w:spacing w:before="0" w:after="0" w:line="259" w:lineRule="auto"/>
              <w:jc w:val="left"/>
            </w:pPr>
            <w:r/>
            <w:r>
              <w:rPr>
                <w:rFonts w:ascii="Calibri" w:hAnsi="Calibri"/>
                <w:b w:val="0"/>
                <w:color w:val="0B2545"/>
                <w:sz w:val="18"/>
              </w:rPr>
              <w:t>Send the final private repository URL after the benchmark structure is pushed. The earlier dataset-analysis URL should not be assumed to be the final benchmark repository.</w:t>
            </w:r>
          </w:p>
        </w:tc>
      </w:tr>
      <w:tr>
        <w:trPr>
          <w:cantSplit/>
        </w:trPr>
        <w:tc>
          <w:tcPr>
            <w:tcW w:type="dxa" w:w="2900"/>
            <w:shd w:fill="F2F4F7" w:val="clear"/>
          </w:tcPr>
          <w:p>
            <w:pPr>
              <w:spacing w:before="0" w:after="0" w:line="259" w:lineRule="auto"/>
              <w:jc w:val="left"/>
            </w:pPr>
            <w:r/>
            <w:r>
              <w:rPr>
                <w:rFonts w:ascii="Calibri" w:hAnsi="Calibri"/>
                <w:b w:val="0"/>
                <w:color w:val="0B2545"/>
                <w:sz w:val="18"/>
              </w:rPr>
              <w:t>Exact original 24-paper attachment</w:t>
            </w:r>
          </w:p>
        </w:tc>
        <w:tc>
          <w:tcPr>
            <w:tcW w:type="dxa" w:w="6460"/>
            <w:shd w:fill="F2F4F7" w:val="clear"/>
          </w:tcPr>
          <w:p>
            <w:pPr>
              <w:spacing w:before="0" w:after="0" w:line="259" w:lineRule="auto"/>
              <w:jc w:val="left"/>
            </w:pPr>
            <w:r/>
            <w:r>
              <w:rPr>
                <w:rFonts w:ascii="Calibri" w:hAnsi="Calibri"/>
                <w:b w:val="0"/>
                <w:color w:val="0B2545"/>
                <w:sz w:val="18"/>
              </w:rPr>
              <w:t>The working model list is available from the meeting material, but retain the original attachment/email if possible for provenance.</w:t>
            </w:r>
          </w:p>
        </w:tc>
      </w:tr>
      <w:tr>
        <w:trPr>
          <w:cantSplit/>
        </w:trPr>
        <w:tc>
          <w:tcPr>
            <w:tcW w:type="dxa" w:w="2900"/>
          </w:tcPr>
          <w:p>
            <w:pPr>
              <w:spacing w:before="0" w:after="0" w:line="259" w:lineRule="auto"/>
              <w:jc w:val="left"/>
            </w:pPr>
            <w:r/>
            <w:r>
              <w:rPr>
                <w:rFonts w:ascii="Calibri" w:hAnsi="Calibri"/>
                <w:b w:val="0"/>
                <w:color w:val="0B2545"/>
                <w:sz w:val="18"/>
              </w:rPr>
              <w:t>Controlled seed values</w:t>
            </w:r>
          </w:p>
        </w:tc>
        <w:tc>
          <w:tcPr>
            <w:tcW w:type="dxa" w:w="6460"/>
          </w:tcPr>
          <w:p>
            <w:pPr>
              <w:spacing w:before="0" w:after="0" w:line="259" w:lineRule="auto"/>
              <w:jc w:val="left"/>
            </w:pPr>
            <w:r/>
            <w:r>
              <w:rPr>
                <w:rFonts w:ascii="Calibri" w:hAnsi="Calibri"/>
                <w:b w:val="0"/>
                <w:color w:val="0B2545"/>
                <w:sz w:val="18"/>
              </w:rPr>
              <w:t>Team must choose and record three values before unified runs.</w:t>
            </w:r>
          </w:p>
        </w:tc>
      </w:tr>
      <w:tr>
        <w:trPr>
          <w:cantSplit/>
        </w:trPr>
        <w:tc>
          <w:tcPr>
            <w:tcW w:type="dxa" w:w="2900"/>
            <w:shd w:fill="F2F4F7" w:val="clear"/>
          </w:tcPr>
          <w:p>
            <w:pPr>
              <w:spacing w:before="0" w:after="0" w:line="259" w:lineRule="auto"/>
              <w:jc w:val="left"/>
            </w:pPr>
            <w:r/>
            <w:r>
              <w:rPr>
                <w:rFonts w:ascii="Calibri" w:hAnsi="Calibri"/>
                <w:b w:val="0"/>
                <w:color w:val="0B2545"/>
                <w:sz w:val="18"/>
              </w:rPr>
              <w:t>Controlled optimizer</w:t>
            </w:r>
          </w:p>
        </w:tc>
        <w:tc>
          <w:tcPr>
            <w:tcW w:type="dxa" w:w="6460"/>
            <w:shd w:fill="F2F4F7" w:val="clear"/>
          </w:tcPr>
          <w:p>
            <w:pPr>
              <w:spacing w:before="0" w:after="0" w:line="259" w:lineRule="auto"/>
              <w:jc w:val="left"/>
            </w:pPr>
            <w:r/>
            <w:r>
              <w:rPr>
                <w:rFonts w:ascii="Calibri" w:hAnsi="Calibri"/>
                <w:b w:val="0"/>
                <w:color w:val="0B2545"/>
                <w:sz w:val="18"/>
              </w:rPr>
              <w:t>Confirm Adam as the shared optimizer or document a different team choice before unified runs.</w:t>
            </w:r>
          </w:p>
        </w:tc>
      </w:tr>
      <w:tr>
        <w:trPr>
          <w:cantSplit/>
        </w:trPr>
        <w:tc>
          <w:tcPr>
            <w:tcW w:type="dxa" w:w="2900"/>
          </w:tcPr>
          <w:p>
            <w:pPr>
              <w:spacing w:before="0" w:after="0" w:line="259" w:lineRule="auto"/>
              <w:jc w:val="left"/>
            </w:pPr>
            <w:r/>
            <w:r>
              <w:rPr>
                <w:rFonts w:ascii="Calibri" w:hAnsi="Calibri"/>
                <w:b w:val="0"/>
                <w:color w:val="0B2545"/>
                <w:sz w:val="18"/>
              </w:rPr>
              <w:t>Elliptic and FDCompCN second comparator</w:t>
            </w:r>
          </w:p>
        </w:tc>
        <w:tc>
          <w:tcPr>
            <w:tcW w:type="dxa" w:w="6460"/>
          </w:tcPr>
          <w:p>
            <w:pPr>
              <w:spacing w:before="0" w:after="0" w:line="259" w:lineRule="auto"/>
              <w:jc w:val="left"/>
            </w:pPr>
            <w:r/>
            <w:r>
              <w:rPr>
                <w:rFonts w:ascii="Calibri" w:hAnsi="Calibri"/>
                <w:b w:val="0"/>
                <w:color w:val="0B2545"/>
                <w:sz w:val="18"/>
              </w:rPr>
              <w:t>Smoke-test at least one additional architecture-preserving adapter for each; otherwise label the dataset a compatibility case study.</w:t>
            </w:r>
          </w:p>
        </w:tc>
      </w:tr>
    </w:tbl>
    <w:p>
      <w:pPr>
        <w:spacing w:after="0"/>
      </w:pPr>
    </w:p>
    <w:p>
      <w:pPr>
        <w:pStyle w:val="Heading1"/>
      </w:pPr>
      <w:r>
        <w:t>13. Final meeting message</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7F4EA" w:val="clear"/>
          </w:tcPr>
          <w:p>
            <w:pPr>
              <w:spacing w:after="0"/>
            </w:pPr>
            <w:r>
              <w:rPr>
                <w:rFonts w:ascii="Calibri" w:hAnsi="Calibri"/>
                <w:b/>
                <w:color w:val="1F4D78"/>
                <w:sz w:val="21"/>
              </w:rPr>
              <w:t xml:space="preserve">Say this clearly: </w:t>
            </w:r>
            <w:r>
              <w:rPr>
                <w:rFonts w:ascii="Calibri" w:hAnsi="Calibri"/>
                <w:color w:val="0B2545"/>
                <w:sz w:val="21"/>
              </w:rPr>
              <w:t>We verified the six datasets using one documented heterophily convention, selected eight fraud-GNNs by mechanism and code feasibility, reproduced each author implementation before adaptation, and then began controlled 40/30/20/10 labelled-training experiments with fixed validation/test IDs, common hardware, seeds, optimizer rule, evaluator and timing boundaries. Every number is linked to a saved configuration and run ID.</w:t>
            </w:r>
          </w:p>
        </w:tc>
      </w:tr>
    </w:tbl>
    <w:p>
      <w:pPr>
        <w:spacing w:after="0"/>
      </w:pP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6"/>
        <w:sz w:val="17"/>
      </w:rPr>
      <w:t xml:space="preserve">Updated 4 September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F6B76"/>
        <w:sz w:val="17"/>
      </w:rPr>
      <w:t>COMP8851 | Graph Fraud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rPr>
        <w:rFonts w:ascii="Calibri" w:hAnsi="Calibri"/>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5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5F6B7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