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COMP8851 Verified Paper and Code Links</w:t>
      </w:r>
    </w:p>
    <w:p>
      <w:pPr>
        <w:pStyle w:val="Subtitle"/>
      </w:pPr>
      <w:r>
        <w:t>Current eight-model roster, benchmark-methodology references and reserve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F4EA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Scope note: </w:t>
            </w:r>
            <w:r>
              <w:rPr>
                <w:rFonts w:ascii="Calibri" w:hAnsi="Calibri"/>
                <w:color w:val="0B2545"/>
                <w:sz w:val="21"/>
              </w:rPr>
              <w:t>The eight detector entries below are implementation candidates. GADBench and BOND are benchmark precedents, and TROPICAL is the heterophily-method reference; those three are not counted among the eight detectors.</w:t>
            </w:r>
          </w:p>
        </w:tc>
      </w:tr>
    </w:tbl>
    <w:p>
      <w:pPr>
        <w:spacing w:after="0"/>
      </w:pPr>
    </w:p>
    <w:p>
      <w:pPr>
        <w:pStyle w:val="Heading1"/>
      </w:pPr>
      <w:r>
        <w:t>Selected implementation roster</w:t>
      </w:r>
    </w:p>
    <w:p>
      <w:pPr>
        <w:pStyle w:val="Heading2"/>
      </w:pPr>
      <w:r>
        <w:t>1. CARE-GNN - Dou et al., CIKM 2020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Paper/DOI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11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10.1145/3340531.3411903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Official code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12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YingtongDou/CARE-GNN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Project role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9"/>
              </w:rPr>
              <w:t>Foundational camouflage-resistant and multi-relation model; YelpChi and Amazon.</w:t>
            </w:r>
          </w:p>
        </w:tc>
      </w:tr>
    </w:tbl>
    <w:p>
      <w:pPr>
        <w:spacing w:after="0"/>
      </w:pPr>
    </w:p>
    <w:p>
      <w:pPr>
        <w:pStyle w:val="Heading2"/>
      </w:pPr>
      <w:r>
        <w:t>2. FRAUDRE - Zhang et al., ICDM 2021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Paper/DOI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13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10.1109/ICDM51629.2021.00098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Official code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14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FraudDetection/FRAUDRE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Project role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9"/>
              </w:rPr>
              <w:t>Early dual inconsistency-and-imbalance detector; YelpChi and Amazon.</w:t>
            </w:r>
          </w:p>
        </w:tc>
      </w:tr>
    </w:tbl>
    <w:p>
      <w:pPr>
        <w:spacing w:after="0"/>
      </w:pPr>
    </w:p>
    <w:p>
      <w:pPr>
        <w:pStyle w:val="Heading2"/>
      </w:pPr>
      <w:r>
        <w:t>3. PC-GNN - Liu et al., The Web Conference 2021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Paper/DOI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15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10.1145/3442381.3449989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Official code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16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PonderLY/PC-GNN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Project role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9"/>
              </w:rPr>
              <w:t>Label-balanced sampling and neighbour selection; YelpChi and Amazon.</w:t>
            </w:r>
          </w:p>
        </w:tc>
      </w:tr>
    </w:tbl>
    <w:p>
      <w:pPr>
        <w:spacing w:after="0"/>
      </w:pPr>
    </w:p>
    <w:p>
      <w:pPr>
        <w:pStyle w:val="Heading2"/>
      </w:pPr>
      <w:r>
        <w:t>4. BWGNN - Tang et al., ICML 2022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Official paper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17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PMLR volume 162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arXiv DOI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18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10.48550/arXiv.2205.15508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Official code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19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squareRoot3/Rethinking-Anomaly-Detection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Project role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9"/>
              </w:rPr>
              <w:t>Beta-wavelet spectral anchor; YelpChi, Amazon, T-Finance and T-Social.</w:t>
            </w:r>
          </w:p>
        </w:tc>
      </w:tr>
    </w:tbl>
    <w:p>
      <w:pPr>
        <w:spacing w:after="0"/>
      </w:pPr>
    </w:p>
    <w:p>
      <w:pPr>
        <w:pStyle w:val="Heading2"/>
      </w:pPr>
      <w:r>
        <w:t>5. GHRN - Gao et al., The Web Conference 2023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Paper/DOI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20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10.1145/3543507.3583268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Official code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21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blacksingular/GHRN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Project role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9"/>
              </w:rPr>
              <w:t>Graph-heterophily-resistant spectral method; same four datasets as BWGNN.</w:t>
            </w:r>
          </w:p>
        </w:tc>
      </w:tr>
    </w:tbl>
    <w:p>
      <w:pPr>
        <w:spacing w:after="0"/>
      </w:pPr>
    </w:p>
    <w:p>
      <w:pPr>
        <w:pStyle w:val="Heading2"/>
      </w:pPr>
      <w:r>
        <w:t>6. SplitGNN - Wu et al., CIKM 2023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Paper/DOI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22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10.1145/3583780.3615067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Official code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23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Split-GNN/SplitGNN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Project role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9"/>
              </w:rPr>
              <w:t>Fraud-specific spectral heterophily detector; YelpChi, Amazon and FDCompCN.</w:t>
            </w:r>
          </w:p>
        </w:tc>
      </w:tr>
    </w:tbl>
    <w:p>
      <w:pPr>
        <w:spacing w:after="0"/>
      </w:pPr>
    </w:p>
    <w:p>
      <w:pPr>
        <w:pStyle w:val="Heading2"/>
      </w:pPr>
      <w:r>
        <w:t>7. PMP - Zhuo et al., ICLR 2024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Official paper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24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ICLR OpenReview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arXiv DOI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25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10.48550/arXiv.2412.00020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Official code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26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Xtra-Computing/PMP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Project role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9"/>
              </w:rPr>
              <w:t>Partitioned homophilic/heterophilic message passing under label imbalance.</w:t>
            </w:r>
          </w:p>
        </w:tc>
      </w:tr>
    </w:tbl>
    <w:p>
      <w:pPr>
        <w:spacing w:after="0"/>
      </w:pPr>
    </w:p>
    <w:p>
      <w:pPr>
        <w:pStyle w:val="Heading2"/>
      </w:pPr>
      <w:r>
        <w:t>8. DGA-GNN - Duan et al., AAAI 2024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Paper/DOI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27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10.1609/aaai.v38i10.29067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Official code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28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AtwoodDuan/DGA-GNN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Project role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9"/>
              </w:rPr>
              <w:t>Dynamic grouping and binning; official paths for YelpChi, Amazon, T-Finance, T-Social and Elliptic.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Methodology references - not detector entries</w:t>
      </w:r>
    </w:p>
    <w:p>
      <w:pPr>
        <w:pStyle w:val="Heading2"/>
      </w:pPr>
      <w:r>
        <w:t>GADBench - Tang et al., NeurIPS 2023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Paper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29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Official NeurIPS page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Proceedings DOI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30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10.52202/075280-1289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Official code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31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squareRoot3/GADBench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Use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9"/>
              </w:rPr>
              <w:t>Supervised benchmark structure, repeated trials, evaluator, tuning-budget and efficiency-reporting precedent.</w:t>
            </w:r>
          </w:p>
        </w:tc>
      </w:tr>
    </w:tbl>
    <w:p>
      <w:pPr>
        <w:spacing w:after="0"/>
      </w:pPr>
    </w:p>
    <w:p>
      <w:pPr>
        <w:pStyle w:val="Heading2"/>
      </w:pPr>
      <w:r>
        <w:t>BOND - Liu et al., NeurIPS 2022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Paper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32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Official NeurIPS page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Proceedings DOI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33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10.52202/068431-1959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Official code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34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PyGOD BOND benchmark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Use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9"/>
              </w:rPr>
              <w:t>Unsupervised benchmark design and resource-reporting precedent only.</w:t>
            </w:r>
          </w:p>
        </w:tc>
      </w:tr>
    </w:tbl>
    <w:p>
      <w:pPr>
        <w:spacing w:after="0"/>
      </w:pPr>
    </w:p>
    <w:p>
      <w:pPr>
        <w:pStyle w:val="Heading2"/>
      </w:pPr>
      <w:r>
        <w:t>TROPICAL - Haghighi et al., ICDM 2024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Paper/DOI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35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10.1109/ICDM59182.2024.00019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Official code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36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VenusHaghighi/TROPICAL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Use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9"/>
              </w:rPr>
              <w:t>Primary methodological reference for one-hop fraud-node local heterophily and relation-specific heterophily.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First reserve</w:t>
      </w:r>
    </w:p>
    <w:p>
      <w:pPr>
        <w:pStyle w:val="Heading2"/>
      </w:pPr>
      <w:r>
        <w:t>SEC-GFD - Xu et al., AAAI 2024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Paper/DOI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37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10.1609/aaai.v38i8.28773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Official code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hyperlink r:id="rId38">
              <w:r>
                <w:rPr>
                  <w:rFonts w:ascii="Calibri" w:hAnsi="Calibri"/>
                  <w:color w:val="0563C1"/>
                  <w:u w:val="single"/>
                  <w:sz w:val="20"/>
                </w:rPr>
                <w:t>Sunxkissed/SEC-GFD</w:t>
              </w:r>
            </w:hyperlink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Reason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9"/>
              </w:rPr>
              <w:t>Strong heterophily/spectrum implementation, but currently reserve because the selected roster already contains BWGNN, GHRN and SplitGNN in the spectral/heterophily family.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Critical code note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color w:val="0B2545"/>
                <w:sz w:val="19"/>
              </w:rPr>
              <w:t>The released main.py selects thresholds and tracks best values using the test mask. Keep that behaviour only when reproducing the original repository; unified runs must use validation-only selection.</w:t>
            </w:r>
          </w:p>
        </w:tc>
      </w:tr>
    </w:tbl>
    <w:p>
      <w:pPr>
        <w:spacing w:after="0"/>
      </w:pPr>
    </w:p>
    <w:p>
      <w:pPr>
        <w:pStyle w:val="Heading1"/>
      </w:pPr>
      <w:r>
        <w:t>Removed from the core roster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Item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RioGNN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Useful model with public code, but absent from the supplied 24-model list and adds complexity without improving six-dataset coverage.</w:t>
            </w:r>
          </w:p>
        </w:tc>
      </w:tr>
      <w:tr>
        <w:trPr>
          <w:cantSplit/>
        </w:trPr>
        <w:tc>
          <w:tcPr>
            <w:tcW w:type="dxa" w:w="2200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GAT-COBO</w:t>
            </w:r>
          </w:p>
        </w:tc>
        <w:tc>
          <w:tcPr>
            <w:tcW w:type="dxa" w:w="7160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Official code centres on BUPT/Sichuan telecom-fraud data; task/data mismatch makes it a poor fit for the six current datasets.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GraphConsis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Relevant literature, but legacy TensorFlow environment creates disproportionate five-day feasibility risk. Keep as a later reserve only if required.</w:t>
            </w:r>
          </w:p>
        </w:tc>
      </w:tr>
      <w:tr>
        <w:trPr>
          <w:cantSplit/>
        </w:trPr>
        <w:tc>
          <w:tcPr>
            <w:tcW w:type="dxa" w:w="2200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GAD in the Wild</w:t>
            </w:r>
          </w:p>
        </w:tc>
        <w:tc>
          <w:tcPr>
            <w:tcW w:type="dxa" w:w="7160"/>
            <w:shd w:fill="F2F4F7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Benchmark/deployment literature rather than one of the eight current fraud-detector implementations.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6"/>
        <w:sz w:val="17"/>
      </w:rPr>
      <w:t xml:space="preserve">Updated 4 September 2026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B76"/>
        <w:sz w:val="17"/>
      </w:rPr>
      <w:t>COMP8851 | Graph Fraud Benchmark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F6B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145/3340531.3411903" TargetMode="External"/><Relationship Id="rId12" Type="http://schemas.openxmlformats.org/officeDocument/2006/relationships/hyperlink" Target="https://github.com/YingtongDou/CARE-GNN" TargetMode="External"/><Relationship Id="rId13" Type="http://schemas.openxmlformats.org/officeDocument/2006/relationships/hyperlink" Target="https://doi.org/10.1109/ICDM51629.2021.00098" TargetMode="External"/><Relationship Id="rId14" Type="http://schemas.openxmlformats.org/officeDocument/2006/relationships/hyperlink" Target="https://github.com/FraudDetection/FRAUDRE" TargetMode="External"/><Relationship Id="rId15" Type="http://schemas.openxmlformats.org/officeDocument/2006/relationships/hyperlink" Target="https://doi.org/10.1145/3442381.3449989" TargetMode="External"/><Relationship Id="rId16" Type="http://schemas.openxmlformats.org/officeDocument/2006/relationships/hyperlink" Target="https://github.com/PonderLY/PC-GNN" TargetMode="External"/><Relationship Id="rId17" Type="http://schemas.openxmlformats.org/officeDocument/2006/relationships/hyperlink" Target="https://proceedings.mlr.press/v162/tang22b.html" TargetMode="External"/><Relationship Id="rId18" Type="http://schemas.openxmlformats.org/officeDocument/2006/relationships/hyperlink" Target="https://doi.org/10.48550/arXiv.2205.15508" TargetMode="External"/><Relationship Id="rId19" Type="http://schemas.openxmlformats.org/officeDocument/2006/relationships/hyperlink" Target="https://github.com/squareRoot3/Rethinking-Anomaly-Detection" TargetMode="External"/><Relationship Id="rId20" Type="http://schemas.openxmlformats.org/officeDocument/2006/relationships/hyperlink" Target="https://doi.org/10.1145/3543507.3583268" TargetMode="External"/><Relationship Id="rId21" Type="http://schemas.openxmlformats.org/officeDocument/2006/relationships/hyperlink" Target="https://github.com/blacksingular/GHRN" TargetMode="External"/><Relationship Id="rId22" Type="http://schemas.openxmlformats.org/officeDocument/2006/relationships/hyperlink" Target="https://doi.org/10.1145/3583780.3615067" TargetMode="External"/><Relationship Id="rId23" Type="http://schemas.openxmlformats.org/officeDocument/2006/relationships/hyperlink" Target="https://github.com/Split-GNN/SplitGNN" TargetMode="External"/><Relationship Id="rId24" Type="http://schemas.openxmlformats.org/officeDocument/2006/relationships/hyperlink" Target="https://openreview.net/forum?id=tEgrUrUuwA" TargetMode="External"/><Relationship Id="rId25" Type="http://schemas.openxmlformats.org/officeDocument/2006/relationships/hyperlink" Target="https://doi.org/10.48550/arXiv.2412.00020" TargetMode="External"/><Relationship Id="rId26" Type="http://schemas.openxmlformats.org/officeDocument/2006/relationships/hyperlink" Target="https://github.com/Xtra-Computing/PMP" TargetMode="External"/><Relationship Id="rId27" Type="http://schemas.openxmlformats.org/officeDocument/2006/relationships/hyperlink" Target="https://doi.org/10.1609/aaai.v38i10.29067" TargetMode="External"/><Relationship Id="rId28" Type="http://schemas.openxmlformats.org/officeDocument/2006/relationships/hyperlink" Target="https://github.com/AtwoodDuan/DGA-GNN" TargetMode="External"/><Relationship Id="rId29" Type="http://schemas.openxmlformats.org/officeDocument/2006/relationships/hyperlink" Target="https://proceedings.neurips.cc/paper_files/paper/2023/hash/5eaafd67434a4cfb1cf829722c65f184-Abstract-Datasets_and_Benchmarks.html" TargetMode="External"/><Relationship Id="rId30" Type="http://schemas.openxmlformats.org/officeDocument/2006/relationships/hyperlink" Target="https://doi.org/10.52202/075280-1289" TargetMode="External"/><Relationship Id="rId31" Type="http://schemas.openxmlformats.org/officeDocument/2006/relationships/hyperlink" Target="https://github.com/squareRoot3/GADBench" TargetMode="External"/><Relationship Id="rId32" Type="http://schemas.openxmlformats.org/officeDocument/2006/relationships/hyperlink" Target="https://proceedings.neurips.cc/paper_files/paper/2022/hash/acc1ec4a9c780006c9aafd595104816b-Abstract-Datasets_and_Benchmarks.html" TargetMode="External"/><Relationship Id="rId33" Type="http://schemas.openxmlformats.org/officeDocument/2006/relationships/hyperlink" Target="https://doi.org/10.52202/068431-1959" TargetMode="External"/><Relationship Id="rId34" Type="http://schemas.openxmlformats.org/officeDocument/2006/relationships/hyperlink" Target="https://github.com/pygod-team/pygod/tree/main/benchmark" TargetMode="External"/><Relationship Id="rId35" Type="http://schemas.openxmlformats.org/officeDocument/2006/relationships/hyperlink" Target="https://doi.org/10.1109/ICDM59182.2024.00019" TargetMode="External"/><Relationship Id="rId36" Type="http://schemas.openxmlformats.org/officeDocument/2006/relationships/hyperlink" Target="https://github.com/VenusHaghighi/TROPICAL" TargetMode="External"/><Relationship Id="rId37" Type="http://schemas.openxmlformats.org/officeDocument/2006/relationships/hyperlink" Target="https://doi.org/10.1609/aaai.v38i8.28773" TargetMode="External"/><Relationship Id="rId38" Type="http://schemas.openxmlformats.org/officeDocument/2006/relationships/hyperlink" Target="https://github.com/Sunxkissed/SEC-GF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