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COMP8851 Eight-Model Reproduction Run Guide</w:t>
      </w:r>
    </w:p>
    <w:p>
      <w:pPr>
        <w:pStyle w:val="Subtitle"/>
      </w:pPr>
      <w:r>
        <w:t>Author reproduction first; unified adaptation only after the repository passes the feasibility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F4EA" w:val="clea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Roster: </w:t>
            </w:r>
            <w:r>
              <w:rPr>
                <w:rFonts w:ascii="Calibri" w:hAnsi="Calibri"/>
                <w:color w:val="0B2545"/>
                <w:sz w:val="21"/>
              </w:rPr>
              <w:t>CARE-GNN, FRAUDRE, PC-GNN, BWGNN, GHRN, SplitGNN, PMP and DGA-GNN. Run GADBench and BOND only as benchmark-design references.</w:t>
            </w:r>
          </w:p>
        </w:tc>
      </w:tr>
    </w:tbl>
    <w:p>
      <w:pPr>
        <w:spacing w:after="0"/>
      </w:pPr>
    </w:p>
    <w:tbl>
      <w:tblPr>
        <w:tblStyle w:val="TableGrid"/>
        <w:tblW w:type="dxa" w:w="1454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900"/>
        <w:gridCol w:w="3450"/>
        <w:gridCol w:w="3050"/>
        <w:gridCol w:w="3500"/>
        <w:gridCol w:w="1394"/>
      </w:tblGrid>
      <w:tr>
        <w:trPr>
          <w:tblHeader w:val="true"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Native datasets</w:t>
            </w:r>
          </w:p>
        </w:tc>
        <w:tc>
          <w:tcPr>
            <w:tcW w:type="dxa" w:w="3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First author-repository run</w:t>
            </w:r>
          </w:p>
        </w:tc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Evidence to save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Critical feasibility/adaptation note</w:t>
            </w:r>
          </w:p>
        </w:tc>
        <w:tc>
          <w:tcPr>
            <w:tcW w:type="dxa" w:w="13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F4D78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Official code</w:t>
            </w:r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CARE-GNN</w:t>
            </w:r>
          </w:p>
        </w:tc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</w:t>
            </w:r>
          </w:p>
        </w:tc>
        <w:tc>
          <w:tcPr>
            <w:tcW w:type="dxa" w:w="34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python data_process.py</w:t>
              <w:br/>
              <w:t>python train.py --data yelp --model CARE</w:t>
              <w:br/>
              <w:t>python train.py --data amazon --model CARE</w:t>
            </w:r>
          </w:p>
        </w:tc>
        <w:tc>
          <w:tcPr>
            <w:tcW w:type="dxa" w:w="30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Confirm three relation graphs, features and labels. Save split sizes, seed, AUC/recall, epoch timing and config.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Official code is complete but old. Original training evaluates test data during training; preserve that only for labelled reproduction and replace it with validation-only selection in unified runs.</w:t>
            </w:r>
          </w:p>
        </w:tc>
        <w:tc>
          <w:tcPr>
            <w:tcW w:type="dxa" w:w="1394"/>
          </w:tcPr>
          <w:p>
            <w:pPr>
              <w:spacing w:after="0"/>
            </w:pPr>
            <w:r/>
            <w:hyperlink r:id="rId11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YingtongDou/CARE-GNN</w:t>
              </w:r>
            </w:hyperlink>
          </w:p>
        </w:tc>
      </w:tr>
      <w:tr>
        <w:trPr>
          <w:cantSplit/>
        </w:trPr>
        <w:tc>
          <w:tcPr>
            <w:tcW w:type="dxa" w:w="12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FRAUDRE</w:t>
            </w:r>
          </w:p>
        </w:tc>
        <w:tc>
          <w:tcPr>
            <w:tcW w:type="dxa" w:w="1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</w:t>
            </w:r>
          </w:p>
        </w:tc>
        <w:tc>
          <w:tcPr>
            <w:tcW w:type="dxa" w:w="34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python train.py --data yelp</w:t>
              <w:br/>
              <w:t>python train.py --data amazon</w:t>
            </w:r>
          </w:p>
        </w:tc>
        <w:tc>
          <w:tcPr>
            <w:tcW w:type="dxa" w:w="30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Confirm topology/features/labels. Save AUC, AP, precision, recall, F1, seed, split and time per epoch.</w:t>
            </w:r>
          </w:p>
        </w:tc>
        <w:tc>
          <w:tcPr>
            <w:tcW w:type="dxa" w:w="35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Minimal documentation. Original procedure periodically evaluates test data and lacks a clean validation split; unified adaptation must isolate the test set.</w:t>
            </w:r>
          </w:p>
        </w:tc>
        <w:tc>
          <w:tcPr>
            <w:tcW w:type="dxa" w:w="1394"/>
            <w:shd w:fill="F2F4F7" w:val="clear"/>
          </w:tcPr>
          <w:p>
            <w:pPr>
              <w:spacing w:after="0"/>
            </w:pPr>
            <w:r/>
            <w:hyperlink r:id="rId12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FraudDetection/FRAUDRE</w:t>
              </w:r>
            </w:hyperlink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PC-GNN</w:t>
            </w:r>
          </w:p>
        </w:tc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</w:t>
            </w:r>
          </w:p>
        </w:tc>
        <w:tc>
          <w:tcPr>
            <w:tcW w:type="dxa" w:w="34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python src/data_process.py</w:t>
              <w:br/>
              <w:t>python main.py --config ./config/pcgnn_yelpchi.yml</w:t>
              <w:br/>
              <w:t>python main.py --config ./config/pcgnn_amazon.yml</w:t>
            </w:r>
          </w:p>
        </w:tc>
        <w:tc>
          <w:tcPr>
            <w:tcW w:type="dxa" w:w="30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Record Macro-F1, class-wise F1, AUROC and G-Mean. Save mean/SD for repeated runs and fraud scores for the common evaluator.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Verify YelpChi feature version: the paper used 100 dimensions while the available run used 32. Older Torch/NetworkX may require a pinned isolated environment.</w:t>
            </w:r>
          </w:p>
        </w:tc>
        <w:tc>
          <w:tcPr>
            <w:tcW w:type="dxa" w:w="1394"/>
          </w:tcPr>
          <w:p>
            <w:pPr>
              <w:spacing w:after="0"/>
            </w:pPr>
            <w:r/>
            <w:hyperlink r:id="rId13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PonderLY/PC-GNN</w:t>
              </w:r>
            </w:hyperlink>
          </w:p>
        </w:tc>
      </w:tr>
      <w:tr>
        <w:trPr>
          <w:cantSplit/>
        </w:trPr>
        <w:tc>
          <w:tcPr>
            <w:tcW w:type="dxa" w:w="12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BWGNN</w:t>
            </w:r>
          </w:p>
        </w:tc>
        <w:tc>
          <w:tcPr>
            <w:tcW w:type="dxa" w:w="1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Amazon, T-Finance, T-Social</w:t>
            </w:r>
          </w:p>
        </w:tc>
        <w:tc>
          <w:tcPr>
            <w:tcW w:type="dxa" w:w="34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python main.py --dataset tfinance --train_ratio 0.4 --hid_dim 64 --order 2 --homo 1 --epoch 100 --run 1</w:t>
              <w:br/>
              <w:t>Replace dataset as required.</w:t>
            </w:r>
          </w:p>
        </w:tc>
        <w:tc>
          <w:tcPr>
            <w:tcW w:type="dxa" w:w="30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Confirm train/dev/test counts, class weight, validation threshold selection and final recall, precision, Macro-F1 and AUROC. Add AUPRC in the shared evaluator.</w:t>
            </w:r>
          </w:p>
        </w:tc>
        <w:tc>
          <w:tcPr>
            <w:tcW w:type="dxa" w:w="35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Simple reproduction path. Use the actual T-Finance file already verified. Keep stored-vs-logical edge convention out of model inputs unless preprocessing requires it.</w:t>
            </w:r>
          </w:p>
        </w:tc>
        <w:tc>
          <w:tcPr>
            <w:tcW w:type="dxa" w:w="1394"/>
            <w:shd w:fill="F2F4F7" w:val="clear"/>
          </w:tcPr>
          <w:p>
            <w:pPr>
              <w:spacing w:after="0"/>
            </w:pPr>
            <w:r/>
            <w:hyperlink r:id="rId14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squareRoot3/Rethinking-Anomaly-Detection</w:t>
              </w:r>
            </w:hyperlink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GHRN</w:t>
            </w:r>
          </w:p>
        </w:tc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Amazon, T-Finance, T-Social</w:t>
            </w:r>
          </w:p>
        </w:tc>
        <w:tc>
          <w:tcPr>
            <w:tcW w:type="dxa" w:w="34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python main.py --dataset tfinance</w:t>
              <w:br/>
              <w:t>Then, only for the paper deletion experiment:</w:t>
              <w:br/>
              <w:t>python main.py --dataset tfinance --del_ratio 0.015</w:t>
            </w:r>
          </w:p>
        </w:tc>
        <w:tc>
          <w:tcPr>
            <w:tcW w:type="dxa" w:w="30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Run del_ratio=0 first; confirm probability files and result.txt. Record normal reproduction separately from deletion experiments.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Two-stage workflow is essential. Edge-deletion experiments are paper reproduction/analysis, not part of the guaranteed unified benchmark unless separately approved.</w:t>
            </w:r>
          </w:p>
        </w:tc>
        <w:tc>
          <w:tcPr>
            <w:tcW w:type="dxa" w:w="1394"/>
          </w:tcPr>
          <w:p>
            <w:pPr>
              <w:spacing w:after="0"/>
            </w:pPr>
            <w:r/>
            <w:hyperlink r:id="rId15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blacksingular/GHRN</w:t>
              </w:r>
            </w:hyperlink>
          </w:p>
        </w:tc>
      </w:tr>
      <w:tr>
        <w:trPr>
          <w:cantSplit/>
        </w:trPr>
        <w:tc>
          <w:tcPr>
            <w:tcW w:type="dxa" w:w="12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SplitGNN</w:t>
            </w:r>
          </w:p>
        </w:tc>
        <w:tc>
          <w:tcPr>
            <w:tcW w:type="dxa" w:w="1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Amazon, FDCompCN</w:t>
            </w:r>
          </w:p>
        </w:tc>
        <w:tc>
          <w:tcPr>
            <w:tcW w:type="dxa" w:w="34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cd src</w:t>
              <w:br/>
              <w:t>python data_preprocess.py --dataset yelp</w:t>
              <w:br/>
              <w:t>python train.py --dataset yelp</w:t>
              <w:br/>
              <w:t>Use amazon or comp configuration as required.</w:t>
            </w:r>
          </w:p>
        </w:tc>
        <w:tc>
          <w:tcPr>
            <w:tcW w:type="dxa" w:w="30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Confirm .dgl generation, masks, validation early stopping, checkpoint and final recall, Macro-F1, AUROC and G-Mean.</w:t>
            </w:r>
          </w:p>
        </w:tc>
        <w:tc>
          <w:tcPr>
            <w:tcW w:type="dxa" w:w="35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Best native FDCompCN path in the selected roster. Preserve relation definitions. Use validation-only model selection before test evaluation.</w:t>
            </w:r>
          </w:p>
        </w:tc>
        <w:tc>
          <w:tcPr>
            <w:tcW w:type="dxa" w:w="1394"/>
            <w:shd w:fill="F2F4F7" w:val="clear"/>
          </w:tcPr>
          <w:p>
            <w:pPr>
              <w:spacing w:after="0"/>
            </w:pPr>
            <w:r/>
            <w:hyperlink r:id="rId16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Split-GNN/SplitGNN</w:t>
              </w:r>
            </w:hyperlink>
          </w:p>
        </w:tc>
      </w:tr>
      <w:tr>
        <w:trPr>
          <w:cantSplit/>
        </w:trPr>
        <w:tc>
          <w:tcPr>
            <w:tcW w:type="dxa" w:w="12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PMP</w:t>
            </w:r>
          </w:p>
        </w:tc>
        <w:tc>
          <w:tcPr>
            <w:tcW w:type="dxa" w:w="1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Amazon, T-Finance; T-Social data mentioned but CLI path must be verified</w:t>
            </w:r>
          </w:p>
        </w:tc>
        <w:tc>
          <w:tcPr>
            <w:tcW w:type="dxa" w:w="34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pip install -r requirements.txt</w:t>
              <w:br/>
              <w:t>python test.py --dataset yelp</w:t>
              <w:br/>
              <w:t>python main.py --dataset yelp --train_ratio 0.4 --gpu_id 0</w:t>
              <w:br/>
              <w:t>Use amazon/tfinance as required.</w:t>
            </w:r>
          </w:p>
        </w:tc>
        <w:tc>
          <w:tcPr>
            <w:tcW w:type="dxa" w:w="305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First verify the supplied checkpoint, then perform an independent train run. Save AUROC, AP, Macro-F1, recall/G-Mean where emitted, seed, threshold and timing.</w:t>
            </w:r>
          </w:p>
        </w:tc>
        <w:tc>
          <w:tcPr>
            <w:tcW w:type="dxa" w:w="35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Strong code package with separate train/validation/test modules. Preserve the already completed PMP evidence; do not overwrite it with unified results.</w:t>
            </w:r>
          </w:p>
        </w:tc>
        <w:tc>
          <w:tcPr>
            <w:tcW w:type="dxa" w:w="1394"/>
          </w:tcPr>
          <w:p>
            <w:pPr>
              <w:spacing w:after="0"/>
            </w:pPr>
            <w:r/>
            <w:hyperlink r:id="rId17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Xtra-Computing/PMP</w:t>
              </w:r>
            </w:hyperlink>
          </w:p>
        </w:tc>
      </w:tr>
      <w:tr>
        <w:trPr>
          <w:cantSplit/>
        </w:trPr>
        <w:tc>
          <w:tcPr>
            <w:tcW w:type="dxa" w:w="12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6"/>
              </w:rPr>
              <w:t>DGA-GNN</w:t>
            </w:r>
          </w:p>
        </w:tc>
        <w:tc>
          <w:tcPr>
            <w:tcW w:type="dxa" w:w="1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6"/>
              </w:rPr>
              <w:t>YelpChi, Amazon, T-Finance, T-Social, Elliptic</w:t>
            </w:r>
          </w:p>
        </w:tc>
        <w:tc>
          <w:tcPr>
            <w:tcW w:type="dxa" w:w="34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Place fraud_graph_rawdata.7z in data/ and extract.</w:t>
              <w:br/>
              <w:t>cd code</w:t>
              <w:br/>
              <w:t>python data_handle.py</w:t>
              <w:br/>
              <w:t>python train.py --config-name elliptic_of_amnet</w:t>
              <w:br/>
              <w:t>Other configs: tfinancet, tsocialt, yelpchit, amazont.</w:t>
            </w:r>
          </w:p>
        </w:tc>
        <w:tc>
          <w:tcPr>
            <w:tcW w:type="dxa" w:w="305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Confirm preprocessing, selected Hydra config, validation/test behaviour, run output, full timing and exported fraud scores.</w:t>
            </w:r>
          </w:p>
        </w:tc>
        <w:tc>
          <w:tcPr>
            <w:tcW w:type="dxa" w:w="35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5"/>
              </w:rPr>
              <w:t>Critical broad-coverage model and the native Elliptic path. Official stack: Torch 1.13.1, DGL 1.1.2, PyTorch Lightning 1.9.4. Preserve Elliptic chronology in unified adaptation.</w:t>
            </w:r>
          </w:p>
        </w:tc>
        <w:tc>
          <w:tcPr>
            <w:tcW w:type="dxa" w:w="1394"/>
            <w:shd w:fill="F2F4F7" w:val="clear"/>
          </w:tcPr>
          <w:p>
            <w:pPr>
              <w:spacing w:after="0"/>
            </w:pPr>
            <w:r/>
            <w:hyperlink r:id="rId18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AtwoodDuan/DGA-GNN</w:t>
              </w:r>
            </w:hyperlink>
          </w:p>
        </w:tc>
      </w:tr>
    </w:tbl>
    <w:p>
      <w:pPr>
        <w:pStyle w:val="Heading1"/>
      </w:pPr>
      <w:r>
        <w:t>Common run checklist</w:t>
      </w:r>
    </w:p>
    <w:tbl>
      <w:tblPr>
        <w:tblStyle w:val="TableGrid"/>
        <w:tblW w:type="dxa" w:w="1454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644"/>
      </w:tblGrid>
      <w:tr>
        <w:trPr>
          <w:tblHeader w:val="true"/>
          <w:cantSplit/>
        </w:trP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Step</w:t>
            </w:r>
          </w:p>
        </w:tc>
        <w:tc>
          <w:tcPr>
            <w:tcW w:type="dxa" w:w="13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Required action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1</w:t>
            </w:r>
          </w:p>
        </w:tc>
        <w:tc>
          <w:tcPr>
            <w:tcW w:type="dxa" w:w="13644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Record repository URL and commit hash before editing.</w:t>
            </w:r>
          </w:p>
        </w:tc>
      </w:tr>
      <w:tr>
        <w:trPr>
          <w:cantSplit/>
        </w:trPr>
        <w:tc>
          <w:tcPr>
            <w:tcW w:type="dxa" w:w="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2</w:t>
            </w:r>
          </w:p>
        </w:tc>
        <w:tc>
          <w:tcPr>
            <w:tcW w:type="dxa" w:w="13644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Create an isolated author-compatible environment; record Python, framework, DGL/PyG and CUDA versions.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3</w:t>
            </w:r>
          </w:p>
        </w:tc>
        <w:tc>
          <w:tcPr>
            <w:tcW w:type="dxa" w:w="13644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Run one official command on an author-supported dataset and save the untouched output.</w:t>
            </w:r>
          </w:p>
        </w:tc>
      </w:tr>
      <w:tr>
        <w:trPr>
          <w:cantSplit/>
        </w:trPr>
        <w:tc>
          <w:tcPr>
            <w:tcW w:type="dxa" w:w="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4</w:t>
            </w:r>
          </w:p>
        </w:tc>
        <w:tc>
          <w:tcPr>
            <w:tcW w:type="dxa" w:w="13644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Save dataset version/hash, split sizes/IDs, seed and complete configuration.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5</w:t>
            </w:r>
          </w:p>
        </w:tc>
        <w:tc>
          <w:tcPr>
            <w:tcW w:type="dxa" w:w="13644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Record total training time, completed epochs and average epoch time; use GPU synchronisation for controlled timing.</w:t>
            </w:r>
          </w:p>
        </w:tc>
      </w:tr>
      <w:tr>
        <w:trPr>
          <w:cantSplit/>
        </w:trPr>
        <w:tc>
          <w:tcPr>
            <w:tcW w:type="dxa" w:w="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6</w:t>
            </w:r>
          </w:p>
        </w:tc>
        <w:tc>
          <w:tcPr>
            <w:tcW w:type="dxa" w:w="13644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Require returned fraud scores/probabilities for the shared evaluator.</w:t>
            </w:r>
          </w:p>
        </w:tc>
      </w:tr>
      <w:tr>
        <w:trPr>
          <w:cantSplit/>
        </w:trPr>
        <w:tc>
          <w:tcPr>
            <w:tcW w:type="dxa" w:w="9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7</w:t>
            </w:r>
          </w:p>
        </w:tc>
        <w:tc>
          <w:tcPr>
            <w:tcW w:type="dxa" w:w="13644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Mark PASS, CONDITIONAL or FAIL. Replacement decisions cannot use test performance.</w:t>
            </w:r>
          </w:p>
        </w:tc>
      </w:tr>
      <w:tr>
        <w:trPr>
          <w:cantSplit/>
        </w:trPr>
        <w:tc>
          <w:tcPr>
            <w:tcW w:type="dxa" w:w="900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8</w:t>
            </w:r>
          </w:p>
        </w:tc>
        <w:tc>
          <w:tcPr>
            <w:tcW w:type="dxa" w:w="13644"/>
            <w:shd w:fill="F2F4F7" w:val="clea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Only after PASS/CONDITIONAL: adapt persistent split IDs, common metrics and controlled TR40/TR30/TR20/TR10.</w:t>
            </w:r>
          </w:p>
        </w:tc>
      </w:tr>
    </w:tbl>
    <w:p>
      <w:pPr>
        <w:spacing w:after="0"/>
      </w:pPr>
    </w:p>
    <w:p>
      <w:pPr>
        <w:pStyle w:val="Heading1"/>
      </w:pPr>
      <w:r>
        <w:t>Benchmark references - not part of the eight</w:t>
      </w:r>
    </w:p>
    <w:tbl>
      <w:tblPr>
        <w:tblStyle w:val="TableGrid"/>
        <w:tblW w:type="dxa" w:w="1454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0300"/>
        <w:gridCol w:w="2644"/>
      </w:tblGrid>
      <w:tr>
        <w:trPr>
          <w:tblHeader w:val="true"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Reference</w:t>
            </w:r>
          </w:p>
        </w:tc>
        <w:tc>
          <w:tcPr>
            <w:tcW w:type="dxa" w:w="10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Use in this project</w:t>
            </w:r>
          </w:p>
        </w:tc>
        <w:tc>
          <w:tcPr>
            <w:tcW w:type="dxa" w:w="2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Official code</w:t>
            </w:r>
          </w:p>
        </w:tc>
      </w:tr>
      <w:tr>
        <w:tc>
          <w:tcPr>
            <w:tcW w:type="dxa" w:w="1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GADBench</w:t>
            </w:r>
          </w:p>
        </w:tc>
        <w:tc>
          <w:tcPr>
            <w:tcW w:type="dxa" w:w="10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Use evaluator organisation, repeated trials, validation-only selection, runtime/resource reporting and fixed-vs-tuned configuration tables.</w:t>
            </w:r>
          </w:p>
        </w:tc>
        <w:tc>
          <w:tcPr>
            <w:tcW w:type="dxa" w:w="2644"/>
          </w:tcPr>
          <w:p>
            <w:r/>
            <w:hyperlink r:id="rId19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squareRoot3/GADBench</w:t>
              </w:r>
            </w:hyperlink>
          </w:p>
        </w:tc>
      </w:tr>
      <w:tr>
        <w:tc>
          <w:tcPr>
            <w:tcW w:type="dxa" w:w="1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BOND</w:t>
            </w:r>
          </w:p>
        </w:tc>
        <w:tc>
          <w:tcPr>
            <w:tcW w:type="dxa" w:w="10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Use unsupervised benchmark structure and runtime/memory reporting ideas only; its unsupervised detectors are outside the current supervised fraud roster.</w:t>
            </w:r>
          </w:p>
        </w:tc>
        <w:tc>
          <w:tcPr>
            <w:tcW w:type="dxa" w:w="2644"/>
          </w:tcPr>
          <w:p>
            <w:r/>
            <w:hyperlink r:id="rId20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pygod-team/pygod/tree/main/benchmark</w:t>
              </w:r>
            </w:hyperlink>
          </w:p>
        </w:tc>
      </w:tr>
      <w:tr>
        <w:tc>
          <w:tcPr>
            <w:tcW w:type="dxa" w:w="16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/>
                <w:color w:val="0B2545"/>
                <w:sz w:val="17"/>
              </w:rPr>
              <w:t>TROPICAL</w:t>
            </w:r>
          </w:p>
        </w:tc>
        <w:tc>
          <w:tcPr>
            <w:tcW w:type="dxa" w:w="10300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/>
                <w:b w:val="0"/>
                <w:color w:val="0B2545"/>
                <w:sz w:val="17"/>
              </w:rPr>
              <w:t>Use the one-hop fraud-node local heterophily and relation-specific global/local heterophily methodology.</w:t>
            </w:r>
          </w:p>
        </w:tc>
        <w:tc>
          <w:tcPr>
            <w:tcW w:type="dxa" w:w="2644"/>
          </w:tcPr>
          <w:p>
            <w:r/>
            <w:hyperlink r:id="rId21">
              <w:r>
                <w:rPr>
                  <w:rFonts w:ascii="Calibri" w:hAnsi="Calibri"/>
                  <w:color w:val="0563C1"/>
                  <w:u w:val="single"/>
                  <w:sz w:val="20"/>
                </w:rPr>
                <w:t>VenusHaghighi/TROPICAL</w:t>
              </w:r>
            </w:hyperlink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4D6" w:val="clea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Project-level pass criterion: </w:t>
            </w:r>
            <w:r>
              <w:rPr>
                <w:rFonts w:ascii="Calibri" w:hAnsi="Calibri"/>
                <w:color w:val="0B2545"/>
                <w:sz w:val="21"/>
              </w:rPr>
              <w:t>Running is not enough. A model must accept a reproducible dataset/split definition, complete without numerical failure, return fraud scores for the required nodes, expose metrics/timing, and be adaptable to the common evaluator without changing its defining mechanism.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7"/>
      </w:rPr>
      <w:t xml:space="preserve">Updated 4 September 2026  |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F6B76"/>
        <w:sz w:val="17"/>
      </w:rPr>
      <w:t>COMP8851 | Graph Fraud Benchmark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0B254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5F6B7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YingtongDou/CARE-GNN" TargetMode="External"/><Relationship Id="rId12" Type="http://schemas.openxmlformats.org/officeDocument/2006/relationships/hyperlink" Target="https://github.com/FraudDetection/FRAUDRE" TargetMode="External"/><Relationship Id="rId13" Type="http://schemas.openxmlformats.org/officeDocument/2006/relationships/hyperlink" Target="https://github.com/PonderLY/PC-GNN" TargetMode="External"/><Relationship Id="rId14" Type="http://schemas.openxmlformats.org/officeDocument/2006/relationships/hyperlink" Target="https://github.com/squareRoot3/Rethinking-Anomaly-Detection" TargetMode="External"/><Relationship Id="rId15" Type="http://schemas.openxmlformats.org/officeDocument/2006/relationships/hyperlink" Target="https://github.com/blacksingular/GHRN" TargetMode="External"/><Relationship Id="rId16" Type="http://schemas.openxmlformats.org/officeDocument/2006/relationships/hyperlink" Target="https://github.com/Split-GNN/SplitGNN" TargetMode="External"/><Relationship Id="rId17" Type="http://schemas.openxmlformats.org/officeDocument/2006/relationships/hyperlink" Target="https://github.com/Xtra-Computing/PMP" TargetMode="External"/><Relationship Id="rId18" Type="http://schemas.openxmlformats.org/officeDocument/2006/relationships/hyperlink" Target="https://github.com/AtwoodDuan/DGA-GNN" TargetMode="External"/><Relationship Id="rId19" Type="http://schemas.openxmlformats.org/officeDocument/2006/relationships/hyperlink" Target="https://github.com/squareRoot3/GADBench" TargetMode="External"/><Relationship Id="rId20" Type="http://schemas.openxmlformats.org/officeDocument/2006/relationships/hyperlink" Target="https://github.com/pygod-team/pygod/tree/main/benchmark" TargetMode="External"/><Relationship Id="rId21" Type="http://schemas.openxmlformats.org/officeDocument/2006/relationships/hyperlink" Target="https://github.com/VenusHaghighi/TROPIC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