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Test AUPRC at TR40 - previous ten models (report Table 6) and the three new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YelpChi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Amazon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T-Finance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Elliptic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FDCompCN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T-Social</w:t>
            </w:r>
          </w:p>
        </w:tc>
      </w:tr>
      <w:tr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CARE-GNN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0.510 ±0.013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0.715 ±0.232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0.712 ±0.040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0.484 ±0.027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0.134 ±0.013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FAILED</w:t>
            </w:r>
          </w:p>
        </w:tc>
      </w:tr>
      <w:tr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FRAUDRE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0.512 ±0.006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0.850 ±0.004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0.801 ±0.170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0.021 ±0.002 +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0.156 ±0.028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0.925 ±0.070</w:t>
            </w:r>
          </w:p>
        </w:tc>
      </w:tr>
      <w:tr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PC-GNN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0.524 ±0.011 #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0.882 ±0.006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0.751 ±0.002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0.465 ±0.063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0.246 ±0.020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GAGA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0.795 *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0.871 *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0.845 *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0.599 *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0.228 *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DGA-GNN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0.922 *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0.927 *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0.904 *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0.813 *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0.298 ±0.147 +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0.981 *</w:t>
            </w:r>
          </w:p>
        </w:tc>
      </w:tr>
      <w:tr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GAAP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0.899 ±0.008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0.909 ±0.008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0.887 ±0.016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0.756 ±0.023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0.329 ±0.013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0.994 ±0.031</w:t>
            </w:r>
          </w:p>
        </w:tc>
      </w:tr>
      <w:tr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BWGNN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0.537 ±0.018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0.881 ±0.013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0.705 ±0.134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0.444 ±0.037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0.158 ±0.004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0.714 ±0.059</w:t>
            </w:r>
          </w:p>
        </w:tc>
      </w:tr>
      <w:tr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GHRN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0.525 ±0.012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0.876 ±0.024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0.676 ±0.206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0.498 ±0.057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0.120 ±0.003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FAILED</w:t>
            </w:r>
          </w:p>
        </w:tc>
      </w:tr>
      <w:tr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PMP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0.758 ±0.003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0.908 ±0.004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0.901 ±0.010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0.458 ±0.073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0.123 ±0.003</w:t>
            </w:r>
          </w:p>
        </w:tc>
        <w:tc>
          <w:tcPr>
            <w:tcW w:type="dxa" w:w="2179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0.919 ±0.052</w:t>
            </w:r>
          </w:p>
        </w:tc>
      </w:tr>
      <w:tr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SplitGNN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0.496 ±0.005 +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0.550 ±0.016 +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0.798 ±0.069 +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0.577 ±0.028 +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0.110 ±0.022 +</w:t>
            </w:r>
          </w:p>
        </w:tc>
        <w:tc>
          <w:tcPr>
            <w:tcW w:type="dxa" w:w="2179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0.437 ±0.019 +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0.506 ±0.024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0.878 ±0.010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0.812 ±0.060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0.703 ±0.007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0.197 ±0.077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0.883 ±0.004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0.729 ±0.008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0.915 ±0.001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0.905 ±0.006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0.613 ±0.058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0.224 ±0.024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0.962 ±0.012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0.584 ±0.076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0.855 ±0.032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0.810 ±0.004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0.469 ±0.041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0.109 ±0.003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0.772 ±0.046</w:t>
            </w:r>
          </w:p>
        </w:tc>
      </w:tr>
    </w:tbl>
    <w:p>
      <w:pPr>
        <w:spacing w:before="40" w:after="80"/>
      </w:pPr>
    </w:p>
    <w:p>
      <w:pPr>
        <w:spacing w:before="40" w:after="60"/>
      </w:pPr>
      <w:r>
        <w:rPr>
          <w:b w:val="0"/>
          <w:sz w:val="20"/>
        </w:rPr>
        <w:t>Comparability: the new rows use the frozen registry splits (byte-identical data and TR40 partitions to CARE-GNN/GHRN), seeds 2/42/72, validation-AUPRC checkpointing and the shared evaluator, so they are directly comparable with the unmarked three-seed rows. '*' single native run and '+' non-canonical split (report markers) are not comparable. '#' audit finding: PC-GNN's YelpChi partitions differ from the registry.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