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ormal-role-based-access-control-model"/>
    <w:p>
      <w:pPr>
        <w:pStyle w:val="Heading1"/>
      </w:pPr>
      <w:r>
        <w:t xml:space="preserve">Formal Role-Based Access Control Model</w:t>
      </w:r>
    </w:p>
    <w:p>
      <w:pPr>
        <w:pStyle w:val="FirstParagraph"/>
      </w:pPr>
      <w:r>
        <w:t xml:space="preserve">This section presents a formal specification of the Role-Based Access Control (RBAC) model implemented within the PCTF framework. The model enforces fine-grained access permissions at the protocol level through smart contract logic, ensuring deterministic and tamper-resistant authorization decisions.</w:t>
      </w:r>
    </w:p>
    <w:bookmarkStart w:id="20" w:name="preliminaries-and-notation"/>
    <w:p>
      <w:pPr>
        <w:pStyle w:val="Heading2"/>
      </w:pPr>
      <w:r>
        <w:t xml:space="preserve">Preliminaries and Notation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U</m:t>
        </m:r>
      </m:oMath>
      <w:r>
        <w:t xml:space="preserve"> </w:t>
      </w:r>
      <w:r>
        <w:t xml:space="preserve">denote the universe of system entities,</w:t>
      </w:r>
      <w: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K</m:t>
        </m:r>
      </m:oMath>
      <w:r>
        <w:t xml:space="preserve"> </w:t>
      </w:r>
      <w:r>
        <w:t xml:space="preserve">the set of valid public keys (Ethereum addresses),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 discrete set of roles. The role assignment function is defined as: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:</m:t>
          </m:r>
          <m:r>
            <m:rPr>
              <m:sty m:val="i"/>
            </m:rPr>
            <m:t>P</m:t>
          </m:r>
          <m:r>
            <m:rPr>
              <m:sty m:val="i"/>
            </m:rPr>
            <m:t>K</m:t>
          </m:r>
          <m:r>
            <m:rPr>
              <m:sty m:val="p"/>
            </m:rPr>
            <m:t>→</m:t>
          </m:r>
          <m:r>
            <m:t>R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represents the role set comprising tourists (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), hotels (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), hospitals (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), authorities (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), and administrators (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), respectively.</w:t>
      </w:r>
    </w:p>
    <w:p>
      <w:pPr>
        <w:pStyle w:val="BodyText"/>
      </w:pPr>
      <w:r>
        <w:rPr>
          <w:bCs/>
          <w:b/>
        </w:rPr>
        <w:t xml:space="preserve">Definition 1</w:t>
      </w:r>
      <w:r>
        <w:t xml:space="preserve"> </w:t>
      </w:r>
      <w:r>
        <w:t xml:space="preserve">(Role Hierarchy).</w:t>
      </w:r>
      <w:r>
        <w:t xml:space="preserve"> </w:t>
      </w:r>
      <w:r>
        <w:t xml:space="preserve"> </w:t>
      </w:r>
      <w:r>
        <w:rPr>
          <w:iCs/>
          <w:i/>
        </w:rPr>
        <w:t xml:space="preserve">The role set</w:t>
      </w:r>
      <w:r>
        <w:rPr>
          <w:iCs/>
          <w:i/>
        </w:rPr>
        <w:t xml:space="preserve"> </w:t>
      </w:r>
      <m:oMath>
        <m: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forms a partially ordered set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≼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under the precedence relation</w:t>
      </w:r>
      <w:r>
        <w:rPr>
          <w:iCs/>
          <w:i/>
        </w:rPr>
        <w:t xml:space="preserve"> </w:t>
      </w:r>
      <m:oMath>
        <m:r>
          <m:rPr>
            <m:sty m:val="p"/>
          </m:rPr>
          <m:t>≼</m:t>
        </m:r>
      </m:oMath>
      <w:r>
        <w:rPr>
          <w:iCs/>
          <w:i/>
        </w:rPr>
        <w:t xml:space="preserve">, where: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≼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≼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Here,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denotes incomparability between roles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.</w:t>
      </w:r>
    </w:p>
    <w:p>
      <w:pPr>
        <w:pStyle w:val="FirstParagraph"/>
      </w:pPr>
      <w:r>
        <w:rPr>
          <w:bCs/>
          <w:b/>
        </w:rPr>
        <w:t xml:space="preserve">Definition 2</w:t>
      </w:r>
      <w:r>
        <w:t xml:space="preserve"> </w:t>
      </w:r>
      <w:r>
        <w:t xml:space="preserve">(Role Assignment Validity).</w:t>
      </w:r>
      <w:r>
        <w:t xml:space="preserve"> </w:t>
      </w:r>
      <w:r>
        <w:t xml:space="preserve"> </w:t>
      </w:r>
      <w:r>
        <w:rPr>
          <w:iCs/>
          <w:i/>
        </w:rPr>
        <w:t xml:space="preserve">A role assignment</w:t>
      </w:r>
      <w:r>
        <w:rPr>
          <w:iCs/>
          <w:i/>
        </w:rPr>
        <w:t xml:space="preserve"> </w:t>
      </w:r>
      <m:oMath>
        <m:r>
          <m:t>ϕ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valid if and only if: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rPr>
              <m:sty m:val="i"/>
            </m:rPr>
            <m:t>p</m:t>
          </m:r>
          <m:r>
            <m:rPr>
              <m:sty m:val="i"/>
            </m:rPr>
            <m:t>k</m:t>
          </m:r>
          <m:r>
            <m:rPr>
              <m:sty m:val="p"/>
            </m:rPr>
            <m:t>∈</m:t>
          </m:r>
          <m:r>
            <m:rPr>
              <m:sty m:val="i"/>
            </m:rPr>
            <m:t>P</m:t>
          </m:r>
          <m:r>
            <m:rPr>
              <m:sty m:val="i"/>
            </m:rPr>
            <m:t>K</m:t>
          </m:r>
          <m:r>
            <m:rPr>
              <m:sty m:val="p"/>
            </m:rPr>
            <m:t>:</m:t>
          </m:r>
          <m:d>
            <m:dPr>
              <m:begChr m:val="|"/>
              <m:endChr m:val="|"/>
              <m:sepChr m:val=""/>
              <m:grow/>
            </m:dPr>
            <m:e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k</m:t>
                  </m:r>
                </m:e>
              </m:d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∧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k</m:t>
              </m:r>
            </m:e>
          </m:d>
          <m:r>
            <m:rPr>
              <m:sty m:val="p"/>
            </m:rPr>
            <m:t>∈</m:t>
          </m:r>
          <m:r>
            <m:t>R</m:t>
          </m:r>
        </m:oMath>
      </m:oMathPara>
    </w:p>
    <w:bookmarkEnd w:id="20"/>
    <w:bookmarkStart w:id="21" w:name="access-control-policy-formalization"/>
    <w:p>
      <w:pPr>
        <w:pStyle w:val="Heading2"/>
      </w:pPr>
      <w:r>
        <w:t xml:space="preserve">Access Control Policy 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denote the data type set, where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represents individual user records,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venue-specific data,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diagnostic records,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aggregated statistics, and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system configuration metadata.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rPr>
            <m:sty m:val="p"/>
          </m:rPr>
          <m:t>W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N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denote the action set.</w:t>
      </w:r>
    </w:p>
    <w:p>
      <w:pPr>
        <w:pStyle w:val="BodyText"/>
      </w:pPr>
      <w:r>
        <w:rPr>
          <w:bCs/>
          <w:b/>
        </w:rPr>
        <w:t xml:space="preserve">Definition 3</w:t>
      </w:r>
      <w:r>
        <w:t xml:space="preserve"> </w:t>
      </w:r>
      <w:r>
        <w:t xml:space="preserve">(Access Control Policy).</w:t>
      </w:r>
      <w:r>
        <w:t xml:space="preserve"> </w:t>
      </w:r>
      <w:r>
        <w:t xml:space="preserve"> </w:t>
      </w:r>
      <w:r>
        <w:rPr>
          <w:iCs/>
          <w:i/>
        </w:rPr>
        <w:t xml:space="preserve">The access control policy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a ternary relation: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⊆</m:t>
          </m:r>
          <m:r>
            <m:t>R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>
            <m:t>A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if and only if role</w:t>
      </w:r>
      <w:r>
        <w:rPr>
          <w:iCs/>
          <w:i/>
        </w:rPr>
        <w:t xml:space="preserve"> </w:t>
      </w:r>
      <m:oMath>
        <m: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authorized to perform action</w:t>
      </w:r>
      <w:r>
        <w:rPr>
          <w:iCs/>
          <w:i/>
        </w:rPr>
        <w:t xml:space="preserve"> </w:t>
      </w:r>
      <m:oMath>
        <m:r>
          <m:t>a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 data type</w:t>
      </w:r>
      <w:r>
        <w:rPr>
          <w:iCs/>
          <w:i/>
        </w:rPr>
        <w:t xml:space="preserve"> </w:t>
      </w:r>
      <m:oMath>
        <m:r>
          <m:t>d</m:t>
        </m:r>
      </m:oMath>
      <w:r>
        <w:rPr>
          <w:iCs/>
          <w:i/>
        </w:rPr>
        <w:t xml:space="preserve">.</w:t>
      </w:r>
    </w:p>
    <w:p>
      <w:pPr>
        <w:pStyle w:val="FirstParagraph"/>
      </w:pPr>
      <w:r>
        <w:rPr>
          <w:iCs/>
          <w:i/>
        </w:rPr>
        <w:t xml:space="preserve">The policy function</w:t>
      </w:r>
      <w:r>
        <w:rPr>
          <w:iCs/>
          <w:i/>
        </w:rPr>
        <w:t xml:space="preserve"> </w:t>
      </w:r>
      <m:oMath>
        <m:r>
          <m:t>ρ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defined as: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TableCaption"/>
      </w:pPr>
      <w:r>
        <w:t xml:space="preserve">PCTF Access Control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CTF Access Control Matrix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l</m:t>
                  </m:r>
                  <m:r>
                    <m:rPr>
                      <m:sty m:val="i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oMath>
          </w:p>
        </w:tc>
      </w:tr>
    </w:tbl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rPr>
                <m:sty m:val="i"/>
              </m:rPr>
              <m:t>s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f</m:t>
            </m:r>
          </m:sub>
        </m:sSub>
      </m:oMath>
      <w:r>
        <w:t xml:space="preserve"> </w:t>
      </w:r>
      <w:r>
        <w:t xml:space="preserve">denotes read access restricted to the subject’s own data, and</w:t>
      </w:r>
      <w:r>
        <w:t xml:space="preserve"> </w:t>
      </w:r>
      <m:oMath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rPr>
                <m:sty m:val="i"/>
              </m:rPr>
              <m:t>a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g</m:t>
            </m:r>
          </m:sub>
        </m:sSub>
      </m:oMath>
      <w:r>
        <w:t xml:space="preserve"> </w:t>
      </w:r>
      <w:r>
        <w:t xml:space="preserve">denotes access to statistical aggregates only.</w:t>
      </w:r>
    </w:p>
    <w:bookmarkEnd w:id="21"/>
    <w:bookmarkStart w:id="22" w:name="authorization-decision-procedure"/>
    <w:p>
      <w:pPr>
        <w:pStyle w:val="Heading2"/>
      </w:pPr>
      <w:r>
        <w:t xml:space="preserve">Authorization Decision Procedure</w:t>
      </w:r>
    </w:p>
    <w:p>
      <w:pPr>
        <w:pStyle w:val="FirstParagraph"/>
      </w:pPr>
      <w:r>
        <w:rPr>
          <w:bCs/>
          <w:b/>
        </w:rPr>
        <w:t xml:space="preserve">Definition 4</w:t>
      </w:r>
      <w:r>
        <w:t xml:space="preserve"> </w:t>
      </w:r>
      <w:r>
        <w:t xml:space="preserve">(Authorization Request).</w:t>
      </w:r>
      <w:r>
        <w:t xml:space="preserve"> </w:t>
      </w:r>
      <w:r>
        <w:t xml:space="preserve"> </w:t>
      </w:r>
      <w:r>
        <w:rPr>
          <w:iCs/>
          <w:i/>
        </w:rPr>
        <w:t xml:space="preserve">An authorization request is a tuple</w:t>
      </w:r>
      <w:r>
        <w:rPr>
          <w:iCs/>
          <w:i/>
        </w:rPr>
        <w:t xml:space="preserve"> </w:t>
      </w:r>
      <m:oMath>
        <m:r>
          <m:t>λ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k</m:t>
        </m:r>
        <m:r>
          <m:rPr>
            <m:sty m:val="p"/>
          </m:rPr>
          <m:t>∈</m:t>
        </m:r>
        <m:r>
          <m:rPr>
            <m:sty m:val="i"/>
          </m:rPr>
          <m:t>P</m:t>
        </m:r>
        <m:r>
          <m:rPr>
            <m:sty m:val="i"/>
          </m:rP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requester’s public key,</w:t>
      </w:r>
      <w:r>
        <w:rPr>
          <w:iCs/>
          <w:i/>
        </w:rPr>
        <w:t xml:space="preserve"> </w:t>
      </w:r>
      <m:oMath>
        <m:r>
          <m:t>d</m:t>
        </m:r>
        <m:r>
          <m:rPr>
            <m:sty m:val="p"/>
          </m:rPr>
          <m:t>∈</m:t>
        </m:r>
        <m:r>
          <m:t>D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requested data type, and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requested action.</w:t>
      </w:r>
    </w:p>
    <w:p>
      <w:pPr>
        <w:pStyle w:val="BodyText"/>
      </w:pPr>
      <w:r>
        <w:rPr>
          <w:bCs/>
          <w:b/>
        </w:rPr>
        <w:t xml:space="preserve">Definition 5</w:t>
      </w:r>
      <w:r>
        <w:t xml:space="preserve"> </w:t>
      </w:r>
      <w:r>
        <w:t xml:space="preserve">(Authorization Decision).</w:t>
      </w:r>
      <w:r>
        <w:t xml:space="preserve"> </w:t>
      </w:r>
      <w:r>
        <w:t xml:space="preserve"> </w:t>
      </w:r>
      <w:r>
        <w:rPr>
          <w:iCs/>
          <w:i/>
        </w:rPr>
        <w:t xml:space="preserve">The authorization decision function</w:t>
      </w:r>
      <w:r>
        <w:rPr>
          <w:iCs/>
          <w:i/>
        </w:rPr>
        <w:t xml:space="preserve"> </w:t>
      </w:r>
      <m:oMath>
        <m:r>
          <m:t>δ</m:t>
        </m:r>
        <m:r>
          <m:rPr>
            <m:sty m:val="p"/>
          </m:rPr>
          <m:t>:</m:t>
        </m:r>
        <m:r>
          <m:rPr>
            <m:sty m:val="i"/>
          </m:rPr>
          <m:t>P</m:t>
        </m:r>
        <m:r>
          <m:rPr>
            <m:sty m:val="i"/>
          </m:rPr>
          <m:t>K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Y</m:t>
        </m:r>
        <m:r>
          <m:rPr>
            <m:sty m:val="p"/>
          </m:rPr>
          <m:t>}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defined as: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T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ϕ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Y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Theorem 1</w:t>
      </w:r>
      <w:r>
        <w:t xml:space="preserve"> </w:t>
      </w:r>
      <w:r>
        <w:t xml:space="preserve">(Access Control Correctness).</w:t>
      </w:r>
      <w:r>
        <w:t xml:space="preserve"> </w:t>
      </w:r>
      <w:r>
        <w:t xml:space="preserve"> </w:t>
      </w:r>
      <w:r>
        <w:rPr>
          <w:iCs/>
          <w:i/>
        </w:rPr>
        <w:t xml:space="preserve">For any authorization request</w:t>
      </w:r>
      <w:r>
        <w:rPr>
          <w:iCs/>
          <w:i/>
        </w:rPr>
        <w:t xml:space="preserve"> </w:t>
      </w:r>
      <m:oMath>
        <m:r>
          <m:t>λ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>
          <w:iCs/>
          <w:i/>
        </w:rPr>
        <w:t xml:space="preserve">, the PCTF access control mechanism returns</w:t>
      </w:r>
      <w:r>
        <w:rPr>
          <w:iCs/>
          <w:i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if and only if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ϕ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k</m:t>
                </m:r>
              </m:e>
            </m:d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P</m:t>
        </m:r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The Access Control Contract implements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by first computing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</m:e>
        </m:d>
      </m:oMath>
      <w:r>
        <w:t xml:space="preserve"> </w:t>
      </w:r>
      <w:r>
        <w:t xml:space="preserve">through mapping lookup, then evaluating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against the policy matrix. If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 contract proceeds with data retrieval; otherwise, it reverts the transaction. By construction,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P</m:t>
        </m:r>
      </m:oMath>
      <w:r>
        <w:t xml:space="preserve">. Therefore,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⇔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k</m:t>
                </m:r>
              </m:e>
            </m:d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∈</m:t>
        </m:r>
        <m:r>
          <m:t>P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 ◻</w:t>
      </w:r>
    </w:p>
    <w:p>
      <w:pPr>
        <w:pStyle w:val="BodyText"/>
      </w:pPr>
      <w:r>
        <w:rPr>
          <w:bCs/>
          <w:b/>
        </w:rPr>
        <w:t xml:space="preserve">Corollary 1</w:t>
      </w:r>
      <w:r>
        <w:t xml:space="preserve"> </w:t>
      </w:r>
      <w:r>
        <w:t xml:space="preserve">(Determinism).</w:t>
      </w:r>
      <w:r>
        <w:t xml:space="preserve"> </w:t>
      </w:r>
      <w:r>
        <w:t xml:space="preserve"> </w:t>
      </w:r>
      <w:r>
        <w:rPr>
          <w:iCs/>
          <w:i/>
        </w:rPr>
        <w:t xml:space="preserve">The authorization decision</w:t>
      </w:r>
      <w:r>
        <w:rPr>
          <w:iCs/>
          <w:i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deterministic for all</w:t>
      </w:r>
      <w:r>
        <w:rPr>
          <w:iCs/>
          <w:i/>
        </w:rP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k</m:t>
        </m:r>
        <m:r>
          <m:rPr>
            <m:sty m:val="p"/>
          </m:rPr>
          <m:t>∈</m:t>
        </m:r>
        <m:r>
          <m:rPr>
            <m:sty m:val="i"/>
          </m:rPr>
          <m:t>P</m:t>
        </m:r>
        <m:r>
          <m:rPr>
            <m:sty m:val="i"/>
          </m:rPr>
          <m:t>K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d</m:t>
        </m:r>
        <m:r>
          <m:rPr>
            <m:sty m:val="p"/>
          </m:rPr>
          <m:t>∈</m:t>
        </m:r>
        <m:r>
          <m:t>D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Functions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are deterministic mappings. The composition of deterministic functions is deterministic.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 ◻</w:t>
      </w:r>
    </w:p>
    <w:bookmarkEnd w:id="22"/>
    <w:bookmarkStart w:id="23" w:name="protocol-level-enforcement-mechanism"/>
    <w:p>
      <w:pPr>
        <w:pStyle w:val="Heading2"/>
      </w:pPr>
      <w:r>
        <w:t xml:space="preserve">Protocol-Level Enforcement Mechanism</w:t>
      </w:r>
    </w:p>
    <w:p>
      <w:pPr>
        <w:pStyle w:val="FirstParagraph"/>
      </w:pPr>
      <w:r>
        <w:t xml:space="preserve">Access control enforcement in PCTF operates at the smart contract layer rather than the application layer. This architectural choice provides three fundamental properties:</w:t>
      </w:r>
    </w:p>
    <w:p>
      <w:pPr>
        <w:pStyle w:val="BodyText"/>
      </w:pPr>
      <w:r>
        <w:rPr>
          <w:bCs/>
          <w:b/>
        </w:rPr>
        <w:t xml:space="preserve">Property 1</w:t>
      </w:r>
      <w:r>
        <w:t xml:space="preserve"> </w:t>
      </w:r>
      <w:r>
        <w:t xml:space="preserve">(Tamper Resistance).</w:t>
      </w:r>
      <w:r>
        <w:t xml:space="preserve"> </w:t>
      </w:r>
      <w:r>
        <w:t xml:space="preserve"> </w:t>
      </w:r>
      <w:r>
        <w:rPr>
          <w:iCs/>
          <w:i/>
        </w:rPr>
        <w:t xml:space="preserve">The access control policy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encoded in immutable smart contract bytecode deployed on the blockchain. Modification of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requires deployment of a new contract instance, which is detectable and auditable.</w:t>
      </w:r>
    </w:p>
    <w:p>
      <w:pPr>
        <w:pStyle w:val="BodyText"/>
      </w:pPr>
      <w:r>
        <w:rPr>
          <w:bCs/>
          <w:b/>
        </w:rPr>
        <w:t xml:space="preserve">Property 2</w:t>
      </w:r>
      <w:r>
        <w:t xml:space="preserve"> </w:t>
      </w:r>
      <w:r>
        <w:t xml:space="preserve">(Consensus Enforcement).</w:t>
      </w:r>
      <w:r>
        <w:t xml:space="preserve"> </w:t>
      </w:r>
      <w:r>
        <w:t xml:space="preserve"> </w:t>
      </w:r>
      <w:r>
        <w:rPr>
          <w:iCs/>
          <w:i/>
        </w:rPr>
        <w:t xml:space="preserve">Authorization decisions are validated by all nodes in the Ethereum network through the EVM. No single node can unilaterally override access control decisions.</w:t>
      </w:r>
    </w:p>
    <w:p>
      <w:pPr>
        <w:pStyle w:val="BodyText"/>
      </w:pPr>
      <w:r>
        <w:rPr>
          <w:bCs/>
          <w:b/>
        </w:rPr>
        <w:t xml:space="preserve">Property 3</w:t>
      </w:r>
      <w:r>
        <w:t xml:space="preserve"> </w:t>
      </w:r>
      <w:r>
        <w:t xml:space="preserve">(Atomic Rejection).</w:t>
      </w:r>
      <w:r>
        <w:t xml:space="preserve"> </w:t>
      </w:r>
      <w:r>
        <w:t xml:space="preserve"> </w:t>
      </w:r>
      <w:r>
        <w:rPr>
          <w:iCs/>
          <w:i/>
        </w:rPr>
        <w:t xml:space="preserve">Unauthorized requests are rejected through transaction reversion at the contract entry point, ensuring that no restricted operations are partially executed and no gas is consumed beyond the base transaction cost.</w:t>
      </w:r>
    </w:p>
    <w:p>
      <w:pPr>
        <w:pStyle w:val="BodyText"/>
      </w:pPr>
      <w:r>
        <w:t xml:space="preserve">The smart contract implementation employs function modifiers for policy enforcement:</w:t>
      </w:r>
    </w:p>
    <w:p>
      <w:pPr>
        <w:pStyle w:val="SourceCode"/>
      </w:pPr>
      <w:r>
        <w:rPr>
          <w:rStyle w:val="VerbatimChar"/>
        </w:rPr>
        <w:t xml:space="preserve">modifier enforceAccess(DataType _dataType, Action _action) {</w:t>
      </w:r>
      <w:r>
        <w:br/>
      </w:r>
      <w:r>
        <w:rPr>
          <w:rStyle w:val="VerbatimChar"/>
        </w:rPr>
        <w:t xml:space="preserve">    require(</w:t>
      </w:r>
      <w:r>
        <w:br/>
      </w:r>
      <w:r>
        <w:rPr>
          <w:rStyle w:val="VerbatimChar"/>
        </w:rPr>
        <w:t xml:space="preserve">        policy[getRole(msg.sender)][_dataType][_action],</w:t>
      </w:r>
      <w:r>
        <w:br/>
      </w:r>
      <w:r>
        <w:rPr>
          <w:rStyle w:val="VerbatimChar"/>
        </w:rPr>
        <w:t xml:space="preserve">        "AccessControl: Unauthorized"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_;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separation-of-duties-constraints"/>
    <w:p>
      <w:pPr>
        <w:pStyle w:val="Heading2"/>
      </w:pPr>
      <w:r>
        <w:t xml:space="preserve">Separation of Duties Constraints</w:t>
      </w:r>
    </w:p>
    <w:p>
      <w:pPr>
        <w:pStyle w:val="FirstParagraph"/>
      </w:pPr>
      <w:r>
        <w:t xml:space="preserve">To mitigate insider threats and collusion attacks, PCTF implements static separation of duties (SSoD) constraints:</w:t>
      </w:r>
    </w:p>
    <w:p>
      <w:pPr>
        <w:pStyle w:val="BodyText"/>
      </w:pPr>
      <w:r>
        <w:rPr>
          <w:bCs/>
          <w:b/>
        </w:rPr>
        <w:t xml:space="preserve">Definition 6</w:t>
      </w:r>
      <w:r>
        <w:t xml:space="preserve"> </w:t>
      </w:r>
      <w:r>
        <w:t xml:space="preserve">(SSoD Constraint).</w:t>
      </w:r>
      <w:r>
        <w:t xml:space="preserve"> </w:t>
      </w:r>
      <w:r>
        <w:t xml:space="preserve"> </w:t>
      </w:r>
      <w:r>
        <w:rPr>
          <w:iCs/>
          <w:i/>
        </w:rPr>
        <w:t xml:space="preserve">A static separation of duties constraint is a pair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t>S</m:t>
        </m:r>
        <m:r>
          <m:rPr>
            <m:sty m:val="p"/>
          </m:rPr>
          <m:t>⊆</m:t>
        </m:r>
        <m: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a role set and</w:t>
      </w:r>
      <w:r>
        <w:rPr>
          <w:iCs/>
          <w:i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cardinality limit. No single entity may hold more than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roles from</w:t>
      </w:r>
      <w:r>
        <w:rPr>
          <w:iCs/>
          <w:i/>
        </w:rPr>
        <w:t xml:space="preserve"> </w:t>
      </w:r>
      <m:oMath>
        <m:r>
          <m:t>S</m:t>
        </m:r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Constraint 1</w:t>
      </w:r>
      <w:r>
        <w:t xml:space="preserve"> </w:t>
      </w:r>
      <w:r>
        <w:t xml:space="preserve">(Creation-Inspection Separation).</w:t>
      </w:r>
      <w:r>
        <w:t xml:space="preserve"> 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: No entity may simultaneously hold hotel and hospital roles, preventing correlation of venue data with diagnostic records.</w:t>
      </w:r>
    </w:p>
    <w:p>
      <w:pPr>
        <w:pStyle w:val="BodyText"/>
      </w:pPr>
      <w:r>
        <w:rPr>
          <w:bCs/>
          <w:b/>
        </w:rPr>
        <w:t xml:space="preserve">Constraint 2</w:t>
      </w:r>
      <w:r>
        <w:t xml:space="preserve"> </w:t>
      </w:r>
      <w:r>
        <w:t xml:space="preserve">(Aggregation-Identification Separation).</w:t>
      </w:r>
      <w:r>
        <w:t xml:space="preserve"> 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∧</m:t>
        </m:r>
        <m: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: Authorities cannot access individual identifiable records.</w:t>
      </w:r>
    </w:p>
    <w:p>
      <w:pPr>
        <w:pStyle w:val="BodyText"/>
      </w:pPr>
      <w:r>
        <w:rPr>
          <w:bCs/>
          <w:b/>
        </w:rPr>
        <w:t xml:space="preserve">Theorem 2</w:t>
      </w:r>
      <w:r>
        <w:t xml:space="preserve"> </w:t>
      </w:r>
      <w:r>
        <w:t xml:space="preserve">(Collusion Resistance).</w:t>
      </w:r>
      <w:r>
        <w:t xml:space="preserve"> </w:t>
      </w:r>
      <w:r>
        <w:t xml:space="preserve"> </w:t>
      </w:r>
      <w:r>
        <w:rPr>
          <w:iCs/>
          <w:i/>
        </w:rPr>
        <w:t xml:space="preserve">Under Constraints C1 and C2, reconstruction of identifiable user health records requires compromise of at least two independent entities with distinct roles.</w:t>
      </w:r>
    </w:p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By C1, no single entity possesses both venue access (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) and diagnostic access (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). By C2, authorities (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) lack individual record access. Therefore, linking venue data to diagnostic data requires at least one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and one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entity to collude.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 ◻</w:t>
      </w:r>
    </w:p>
    <w:bookmarkEnd w:id="24"/>
    <w:bookmarkStart w:id="25" w:name="dynamic-consent-management"/>
    <w:p>
      <w:pPr>
        <w:pStyle w:val="Heading2"/>
      </w:pPr>
      <w:r>
        <w:t xml:space="preserve">Dynamic Consent Management</w:t>
      </w:r>
    </w:p>
    <w:p>
      <w:pPr>
        <w:pStyle w:val="FirstParagraph"/>
      </w:pPr>
      <w:r>
        <w:t xml:space="preserve">User consent is modeled as a time-varying function: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:</m:t>
          </m:r>
          <m:r>
            <m:rPr>
              <m:sty m:val="i"/>
            </m:rPr>
            <m:t>P</m:t>
          </m:r>
          <m:r>
            <m:rPr>
              <m:sty m:val="i"/>
            </m:rPr>
            <m:t>K</m:t>
          </m:r>
          <m:r>
            <m:rPr>
              <m:sty m:val="p"/>
            </m:rPr>
            <m:t>×</m:t>
          </m:r>
          <m:r>
            <m:t>D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denotes the discrete time domain and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that entity</w:t>
      </w:r>
      <w: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k</m:t>
        </m:r>
      </m:oMath>
      <w:r>
        <w:t xml:space="preserve"> </w:t>
      </w:r>
      <w:r>
        <w:t xml:space="preserve">has granted consent for data type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Definition 7</w:t>
      </w:r>
      <w:r>
        <w:t xml:space="preserve"> </w:t>
      </w:r>
      <w:r>
        <w:t xml:space="preserve">(Consent-Aware Authorization).</w:t>
      </w:r>
      <w:r>
        <w:t xml:space="preserve"> </w:t>
      </w:r>
      <w:r>
        <w:t xml:space="preserve"> </w:t>
      </w:r>
      <w:r>
        <w:rPr>
          <w:iCs/>
          <w:i/>
        </w:rPr>
        <w:t xml:space="preserve">The consent-aware authorization function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extends</w:t>
      </w:r>
      <w:r>
        <w:rPr>
          <w:iCs/>
          <w:i/>
        </w:rPr>
        <w:t xml:space="preserve"> </w:t>
      </w:r>
      <m:oMath>
        <m:r>
          <m:t>δ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as follows: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∧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Consent Revocation Protocol.</w:t>
      </w:r>
      <w:r>
        <w:t xml:space="preserve"> </w:t>
      </w:r>
      <w:r>
        <w:t xml:space="preserve">Upon revocation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. Associated decryption keys are destroyed, rendering encrypted off-chain data irrecoverable. On-chain metadata remains immutable for audit purposes but becomes unlinkable to plaintext.</w:t>
      </w:r>
    </w:p>
    <w:bookmarkEnd w:id="25"/>
    <w:bookmarkStart w:id="26" w:name="administrative-privileges-and-governance"/>
    <w:p>
      <w:pPr>
        <w:pStyle w:val="Heading2"/>
      </w:pPr>
      <w:r>
        <w:t xml:space="preserve">Administrative Privileges and Governance</w:t>
      </w:r>
    </w:p>
    <w:p>
      <w:pPr>
        <w:pStyle w:val="FirstParagraph"/>
      </w:pPr>
      <w:r>
        <w:t xml:space="preserve">Role administration is restricted to the administrator role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with additional safeguards:</w:t>
      </w:r>
    </w:p>
    <w:p>
      <w:pPr>
        <w:pStyle w:val="BodyText"/>
      </w:pPr>
      <w:r>
        <w:rPr>
          <w:bCs/>
          <w:b/>
        </w:rPr>
        <w:t xml:space="preserve">Definition 8</w:t>
      </w:r>
      <w:r>
        <w:t xml:space="preserve"> </w:t>
      </w:r>
      <w:r>
        <w:t xml:space="preserve">(Administrative Action).</w:t>
      </w:r>
      <w:r>
        <w:t xml:space="preserve"> </w:t>
      </w:r>
      <w:r>
        <w:t xml:space="preserve"> </w:t>
      </w:r>
      <w:r>
        <w:rPr>
          <w:iCs/>
          <w:i/>
        </w:rPr>
        <w:t xml:space="preserve">An administrative action</w:t>
      </w:r>
      <w:r>
        <w:rPr>
          <w:iCs/>
          <w:i/>
        </w:rPr>
        <w:t xml:space="preserve"> </w:t>
      </w:r>
      <m:oMath>
        <m:r>
          <m:t>α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Y</m:t>
        </m:r>
        <m:r>
          <m:rPr>
            <m:sty m:val="p"/>
          </m:rPr>
          <m:t>}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modifies the role assignment function</w:t>
      </w:r>
      <w:r>
        <w:rPr>
          <w:iCs/>
          <w:i/>
        </w:rPr>
        <w:t xml:space="preserve"> </w:t>
      </w:r>
      <m:oMath>
        <m:r>
          <m:t>ϕ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or policy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Multi-Signature Requirement.</w:t>
      </w:r>
      <w:r>
        <w:t xml:space="preserve"> </w:t>
      </w:r>
      <w:r>
        <w:t xml:space="preserve">Critical administrative actions require</w:t>
      </w:r>
      <w:r>
        <w:t xml:space="preserve"> </w:t>
      </w:r>
      <m:oMath>
        <m:r>
          <m:t>k</m:t>
        </m:r>
      </m:oMath>
      <w:r>
        <w:t xml:space="preserve">-of-</w:t>
      </w:r>
      <m:oMath>
        <m:r>
          <m:t>n</m:t>
        </m:r>
      </m:oMath>
      <w:r>
        <w:t xml:space="preserve"> </w:t>
      </w:r>
      <w:r>
        <w:t xml:space="preserve">multi-signature authorization,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⌈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3</m:t>
            </m:r>
          </m:den>
        </m:f>
        <m:r>
          <m:rPr>
            <m:sty m:val="p"/>
          </m:rPr>
          <m:t>⌉</m:t>
        </m:r>
      </m:oMath>
      <w:r>
        <w:t xml:space="preserve">. For the PCTF deployment,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, ensuring Byzantine fault tolerance.</w:t>
      </w:r>
    </w:p>
    <w:p>
      <w:pPr>
        <w:pStyle w:val="BodyText"/>
      </w:pPr>
      <w:r>
        <w:rPr>
          <w:bCs/>
          <w:b/>
        </w:rPr>
        <w:t xml:space="preserve">Emergency Override.</w:t>
      </w:r>
      <w:r>
        <w:t xml:space="preserve"> </w:t>
      </w:r>
      <w:r>
        <w:t xml:space="preserve">The emergency action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i"/>
              </m:rPr>
              <m:t>e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y</m:t>
            </m:r>
          </m:sub>
        </m:sSub>
      </m:oMath>
      <w:r>
        <w:t xml:space="preserve"> </w:t>
      </w:r>
      <w:r>
        <w:t xml:space="preserve">temporarily suspends normal access controls for public health crises. Execution requires:</w:t>
      </w:r>
    </w:p>
    <w:p>
      <w:pPr>
        <w:numPr>
          <w:ilvl w:val="0"/>
          <w:numId w:val="1001"/>
        </w:numPr>
      </w:pPr>
      <w:r>
        <w:t xml:space="preserve">Super-majority consensus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</w:t>
      </w:r>
    </w:p>
    <w:p>
      <w:pPr>
        <w:numPr>
          <w:ilvl w:val="0"/>
          <w:numId w:val="1001"/>
        </w:numPr>
      </w:pPr>
      <w:r>
        <w:t xml:space="preserve">Justification hash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j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f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_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t</m:t>
            </m:r>
          </m:e>
        </m:d>
      </m:oMath>
      <w:r>
        <w:t xml:space="preserve"> </w:t>
      </w:r>
      <w:r>
        <w:t xml:space="preserve">recorded on-chain</w:t>
      </w:r>
    </w:p>
    <w:p>
      <w:pPr>
        <w:numPr>
          <w:ilvl w:val="0"/>
          <w:numId w:val="1001"/>
        </w:numPr>
      </w:pPr>
      <w:r>
        <w:t xml:space="preserve">Time-bound validity (</w:t>
      </w:r>
      <m:oMath>
        <m:sSub>
          <m:e>
            <m:r>
              <m:t>t</m:t>
            </m:r>
          </m:e>
          <m:sub>
            <m:r>
              <m:rPr>
                <m:sty m:val="i"/>
              </m:rPr>
              <m:t>e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w</m:t>
            </m:r>
          </m:sub>
        </m:sSub>
        <m:r>
          <m:rPr>
            <m:sty m:val="p"/>
          </m:rPr>
          <m:t>+</m:t>
        </m:r>
        <m:r>
          <m:t>7</m:t>
        </m:r>
        <m:r>
          <m:t> </m:t>
        </m:r>
        <m:r>
          <m:rPr>
            <m:nor/>
            <m:sty m:val="p"/>
          </m:rPr>
          <m:t>days</m:t>
        </m:r>
      </m:oMath>
      <w:r>
        <w:t xml:space="preserve">)</w:t>
      </w:r>
    </w:p>
    <w:bookmarkEnd w:id="26"/>
    <w:bookmarkStart w:id="27" w:name="complexity-analysis"/>
    <w:p>
      <w:pPr>
        <w:pStyle w:val="Heading2"/>
      </w:pPr>
      <w:r>
        <w:t xml:space="preserve">Complexity Analysis</w:t>
      </w:r>
    </w:p>
    <w:p>
      <w:pPr>
        <w:pStyle w:val="FirstParagraph"/>
      </w:pPr>
      <w:r>
        <w:rPr>
          <w:bCs/>
          <w:b/>
        </w:rPr>
        <w:t xml:space="preserve">Theorem 3</w:t>
      </w:r>
      <w:r>
        <w:t xml:space="preserve"> </w:t>
      </w:r>
      <w:r>
        <w:t xml:space="preserve">(Authorization Complexity).</w:t>
      </w:r>
      <w:r>
        <w:t xml:space="preserve"> </w:t>
      </w:r>
      <w:r>
        <w:t xml:space="preserve"> </w:t>
      </w:r>
      <w:r>
        <w:rPr>
          <w:iCs/>
          <w:i/>
        </w:rPr>
        <w:t xml:space="preserve">The authorization decision</w:t>
      </w:r>
      <w:r>
        <w:rPr>
          <w:iCs/>
          <w:i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computable in</w:t>
      </w:r>
      <w:r>
        <w:rPr>
          <w:iCs/>
          <w:i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time and</w:t>
      </w:r>
      <w:r>
        <w:rPr>
          <w:iCs/>
          <w:i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space.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Role lookup via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requires constant-time hash table access. Policy evaluation via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requires constant-time array indexing. Both operations use fixed-size data structures independent of system scale.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 ◻</w:t>
      </w:r>
    </w:p>
    <w:p>
      <w:pPr>
        <w:pStyle w:val="BodyText"/>
      </w:pPr>
      <w:r>
        <w:rPr>
          <w:bCs/>
          <w:b/>
        </w:rPr>
        <w:t xml:space="preserve">Storage Complexity.</w:t>
      </w:r>
      <w:r>
        <w:t xml:space="preserve"> </w:t>
      </w:r>
      <w:r>
        <w:t xml:space="preserve">The role mapping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K</m:t>
                </m:r>
              </m:e>
            </m:d>
          </m:e>
        </m:d>
      </m:oMath>
      <w:r>
        <w:t xml:space="preserve"> </w:t>
      </w:r>
      <w:r>
        <w:t xml:space="preserve">storage. The policy matrix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D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storage (constant with respect to system scale).</w:t>
      </w:r>
    </w:p>
    <w:bookmarkEnd w:id="27"/>
    <w:bookmarkStart w:id="28" w:name="compliance-with-nist-rbac-standard"/>
    <w:p>
      <w:pPr>
        <w:pStyle w:val="Heading2"/>
      </w:pPr>
      <w:r>
        <w:t xml:space="preserve">Compliance with NIST RBAC Standard</w:t>
      </w:r>
    </w:p>
    <w:p>
      <w:pPr>
        <w:pStyle w:val="FirstParagraph"/>
      </w:pPr>
      <w:r>
        <w:t xml:space="preserve">The PCTF RBAC model conforms to the NIST RBAC standard as follows:</w:t>
      </w:r>
    </w:p>
    <w:p>
      <w:pPr>
        <w:pStyle w:val="TableCaption"/>
      </w:pPr>
      <w:r>
        <w:t xml:space="preserve">NIST RBAC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IST RBAC Complianc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PCTF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User-role and permission-role assignment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hierarchies with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order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≼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Constrained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and dynamic separation of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C1, C2; function</w:t>
            </w:r>
            <w:r>
              <w:t xml:space="preserve"> </w:t>
            </w:r>
            <m:oMath>
              <m:r>
                <m:t>γ</m:t>
              </m:r>
            </m:oMath>
          </w:p>
        </w:tc>
      </w:tr>
    </w:tbl>
    <w:p>
      <w:pPr>
        <w:pStyle w:val="BodyText"/>
      </w:pPr>
      <w:r>
        <w:t xml:space="preserve">The model satisfies all mandatory requirements for NIST RBAC Level 3 (Constrained RBAC).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2026-04-04T10:20:42Z</dcterms:created>
  <dcterms:modified xsi:type="dcterms:W3CDTF">2026-04-04T10:20:42Z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