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BEE7" w14:textId="77777777" w:rsidR="00E32AB7" w:rsidRPr="00E32AB7" w:rsidRDefault="00E32AB7" w:rsidP="00E32AB7">
      <w:pPr>
        <w:shd w:val="clear" w:color="auto" w:fill="FFFFFF"/>
        <w:spacing w:after="0" w:line="420" w:lineRule="atLeast"/>
        <w:textAlignment w:val="baseline"/>
        <w:outlineLvl w:val="1"/>
        <w:rPr>
          <w:rFonts w:ascii="Segoe UI" w:eastAsia="Times New Roman" w:hAnsi="Segoe UI" w:cs="Segoe UI"/>
          <w:b/>
          <w:bCs/>
          <w:kern w:val="0"/>
          <w:sz w:val="27"/>
          <w:szCs w:val="27"/>
          <w:lang w:eastAsia="en-GB" w:bidi="bn-IN"/>
          <w14:ligatures w14:val="none"/>
        </w:rPr>
      </w:pPr>
      <w:r w:rsidRPr="00E32AB7">
        <w:rPr>
          <w:rFonts w:ascii="inherit" w:eastAsia="Times New Roman" w:hAnsi="inherit" w:cs="Segoe UI"/>
          <w:b/>
          <w:bCs/>
          <w:kern w:val="0"/>
          <w:sz w:val="27"/>
          <w:szCs w:val="27"/>
          <w:bdr w:val="none" w:sz="0" w:space="0" w:color="auto" w:frame="1"/>
          <w:lang w:eastAsia="en-GB" w:bidi="bn-IN"/>
          <w14:ligatures w14:val="none"/>
        </w:rPr>
        <w:t>4. Implementation and Result Analysis</w:t>
      </w:r>
    </w:p>
    <w:p w14:paraId="7A997703" w14:textId="77777777" w:rsidR="00E32AB7" w:rsidRPr="00E32AB7" w:rsidRDefault="00E32AB7" w:rsidP="00E32AB7">
      <w:pPr>
        <w:shd w:val="clear" w:color="auto" w:fill="FFFFFF"/>
        <w:spacing w:after="0" w:line="390" w:lineRule="atLeast"/>
        <w:textAlignment w:val="baseline"/>
        <w:outlineLvl w:val="2"/>
        <w:rPr>
          <w:rFonts w:ascii="Segoe UI" w:eastAsia="Times New Roman" w:hAnsi="Segoe UI" w:cs="Segoe UI"/>
          <w:b/>
          <w:bCs/>
          <w:kern w:val="0"/>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4.1 Implementation Environment and Experimental Setup</w:t>
      </w:r>
    </w:p>
    <w:p w14:paraId="6C7798C9" w14:textId="77777777" w:rsidR="00E32AB7" w:rsidRPr="00E32AB7" w:rsidRDefault="00E32AB7" w:rsidP="00E32AB7">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E32AB7">
        <w:rPr>
          <w:rFonts w:eastAsia="Times New Roman" w:cs="Segoe UI"/>
          <w:kern w:val="0"/>
          <w:sz w:val="21"/>
          <w:szCs w:val="21"/>
          <w:lang w:eastAsia="en-GB" w:bidi="bn-IN"/>
          <w14:ligatures w14:val="none"/>
        </w:rPr>
        <w:t>The BT-CMRS prototype was implemented using Hardhat Network (v2.19.0) configured to simulate Ethereum Proof-of-Stake (PoS) consensus mechanisms with 12-second block intervals and 30 million gas limits per block [1]. This local development environment was selected to ensure reproducible performance measurements, eliminating network variability and congestion inherent in public testnets such as Sepolia or Mainnet. The development stack comprised Solidity ^0.8.19 for smart contract implementation, Circom (v2.1.6) for zero-knowledge circuit design, and snarkjs for proof generation and verification [2]. The ZKP circuits utilized the Groth16 proving system over the BN254 elliptic curve, enabling efficient on-chain verification through Ethereum precompiled contracts at addresses 0x06, 0x07, and 0x08 [3].</w:t>
      </w:r>
    </w:p>
    <w:p w14:paraId="432D4A09" w14:textId="77777777" w:rsidR="00E32AB7" w:rsidRDefault="00E32AB7" w:rsidP="00E32AB7">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E32AB7">
        <w:rPr>
          <w:rFonts w:eastAsia="Times New Roman" w:cs="Segoe UI"/>
          <w:kern w:val="0"/>
          <w:sz w:val="21"/>
          <w:szCs w:val="21"/>
          <w:lang w:eastAsia="en-GB" w:bidi="bn-IN"/>
          <w14:ligatures w14:val="none"/>
        </w:rPr>
        <w:t>The use of a local blockchain network allows the system to operate without external network congestion, ensuring stable execution conditions and reproducibility of results. Additionally, the integration of automated Node.js scripts enables seamless execution of complex workflows, including batch creation, lifecycle tracking, ZKP verification, and reacquisition handling. This setup provides a cost-effective and reliable platform for evaluating the performance and feasibility of the proposed framework before real-world deployment. The system was deployed on hardware equipped with an Intel Core i7 processor (3.2 GHz) and 16GB RAM, representing standard computational resources accessible to artisanal mining cooperatives for ZKP generation.</w:t>
      </w:r>
    </w:p>
    <w:p w14:paraId="189AD3D4" w14:textId="77777777" w:rsidR="00E32AB7" w:rsidRPr="00E32AB7" w:rsidRDefault="00E32AB7" w:rsidP="00E32AB7">
      <w:pPr>
        <w:shd w:val="clear" w:color="auto" w:fill="FFFFFF"/>
        <w:spacing w:after="0" w:line="390" w:lineRule="atLeast"/>
        <w:jc w:val="both"/>
        <w:textAlignment w:val="baseline"/>
        <w:rPr>
          <w:rFonts w:eastAsia="Times New Roman" w:cs="Segoe UI"/>
          <w:kern w:val="0"/>
          <w:sz w:val="21"/>
          <w:szCs w:val="21"/>
          <w:lang w:eastAsia="en-GB" w:bidi="bn-IN"/>
          <w14:ligatures w14:val="none"/>
        </w:rPr>
      </w:pPr>
    </w:p>
    <w:p w14:paraId="3B7E0E37" w14:textId="77777777" w:rsidR="00E32AB7" w:rsidRPr="00E32AB7" w:rsidRDefault="00E32AB7" w:rsidP="00E32AB7">
      <w:pPr>
        <w:shd w:val="clear" w:color="auto" w:fill="FFFFFF"/>
        <w:spacing w:after="0" w:line="390" w:lineRule="atLeast"/>
        <w:jc w:val="both"/>
        <w:textAlignment w:val="baseline"/>
        <w:outlineLvl w:val="2"/>
        <w:rPr>
          <w:rFonts w:eastAsia="Times New Roman" w:cs="Segoe UI"/>
          <w:b/>
          <w:bCs/>
          <w:kern w:val="0"/>
          <w:sz w:val="21"/>
          <w:szCs w:val="21"/>
          <w:lang w:eastAsia="en-GB" w:bidi="bn-IN"/>
          <w14:ligatures w14:val="none"/>
        </w:rPr>
      </w:pPr>
      <w:r w:rsidRPr="00E32AB7">
        <w:rPr>
          <w:rFonts w:eastAsia="Times New Roman" w:cs="Segoe UI"/>
          <w:b/>
          <w:bCs/>
          <w:kern w:val="0"/>
          <w:sz w:val="21"/>
          <w:szCs w:val="21"/>
          <w:bdr w:val="none" w:sz="0" w:space="0" w:color="auto" w:frame="1"/>
          <w:lang w:eastAsia="en-GB" w:bidi="bn-IN"/>
          <w14:ligatures w14:val="none"/>
        </w:rPr>
        <w:t>4.2 Smart Contract Deployment Analysis</w:t>
      </w:r>
    </w:p>
    <w:p w14:paraId="6DF430BD" w14:textId="77777777" w:rsidR="00E32AB7" w:rsidRPr="00E32AB7" w:rsidRDefault="00E32AB7" w:rsidP="00E32AB7">
      <w:pPr>
        <w:shd w:val="clear" w:color="auto" w:fill="FFFFFF"/>
        <w:spacing w:after="0" w:line="390" w:lineRule="atLeast"/>
        <w:textAlignment w:val="baseline"/>
        <w:rPr>
          <w:rFonts w:eastAsia="Times New Roman" w:cs="Segoe UI"/>
          <w:kern w:val="0"/>
          <w:sz w:val="21"/>
          <w:szCs w:val="21"/>
          <w:lang w:eastAsia="en-GB" w:bidi="bn-IN"/>
          <w14:ligatures w14:val="none"/>
        </w:rPr>
      </w:pPr>
      <w:r w:rsidRPr="00E32AB7">
        <w:rPr>
          <w:rFonts w:eastAsia="Times New Roman" w:cs="Segoe UI"/>
          <w:kern w:val="0"/>
          <w:sz w:val="21"/>
          <w:szCs w:val="21"/>
          <w:lang w:eastAsia="en-GB" w:bidi="bn-IN"/>
          <w14:ligatures w14:val="none"/>
        </w:rPr>
        <w:t>The deployment of BT-CMRS smart contracts followed a systematic staged approach to ensure verifiable initialization of the traceability infrastructure. Table 1 presents the comprehensive deployment results for the Reacquisition Smart Contracts (SCs), which constitute the core logic for automated mineral batch returns, compliance verification, and ethical violation handling.</w:t>
      </w:r>
    </w:p>
    <w:p w14:paraId="4BFEBDEB" w14:textId="77777777" w:rsidR="00E32AB7" w:rsidRPr="00E32AB7" w:rsidRDefault="00E32AB7" w:rsidP="00E32AB7">
      <w:pPr>
        <w:shd w:val="clear" w:color="auto" w:fill="FFFFFF"/>
        <w:spacing w:after="0" w:line="390" w:lineRule="atLeast"/>
        <w:textAlignment w:val="baseline"/>
        <w:rPr>
          <w:rFonts w:eastAsia="Times New Roman" w:cs="Segoe UI"/>
          <w:kern w:val="0"/>
          <w:sz w:val="21"/>
          <w:szCs w:val="21"/>
          <w:lang w:eastAsia="en-GB" w:bidi="bn-IN"/>
          <w14:ligatures w14:val="none"/>
        </w:rPr>
      </w:pPr>
      <w:r w:rsidRPr="00E32AB7">
        <w:rPr>
          <w:rFonts w:eastAsia="Times New Roman" w:cs="Segoe UI"/>
          <w:kern w:val="0"/>
          <w:sz w:val="21"/>
          <w:szCs w:val="21"/>
          <w:lang w:eastAsia="en-GB" w:bidi="bn-IN"/>
          <w14:ligatures w14:val="none"/>
        </w:rPr>
        <w:t xml:space="preserve">As illustrated in Table 1, the Code Deposit (Deployment) operation consumed </w:t>
      </w:r>
      <w:r w:rsidRPr="00E32AB7">
        <w:rPr>
          <w:rFonts w:eastAsia="Times New Roman" w:cs="Segoe UI"/>
          <w:b/>
          <w:bCs/>
          <w:kern w:val="0"/>
          <w:sz w:val="21"/>
          <w:szCs w:val="21"/>
          <w:bdr w:val="none" w:sz="0" w:space="0" w:color="auto" w:frame="1"/>
          <w:lang w:eastAsia="en-GB" w:bidi="bn-IN"/>
          <w14:ligatures w14:val="none"/>
        </w:rPr>
        <w:t>2,522,612 gas</w:t>
      </w:r>
      <w:r w:rsidRPr="00E32AB7">
        <w:rPr>
          <w:rFonts w:eastAsia="Times New Roman" w:cs="Segoe UI"/>
          <w:kern w:val="0"/>
          <w:sz w:val="21"/>
          <w:szCs w:val="21"/>
          <w:lang w:eastAsia="en-GB" w:bidi="bn-IN"/>
          <w14:ligatures w14:val="none"/>
        </w:rPr>
        <w:t xml:space="preserve"> units, generating a transaction hash of </w:t>
      </w:r>
      <w:r w:rsidRPr="00E32AB7">
        <w:rPr>
          <w:rFonts w:eastAsia="Times New Roman" w:cs="Courier New"/>
          <w:kern w:val="0"/>
          <w:sz w:val="21"/>
          <w:szCs w:val="21"/>
          <w:bdr w:val="none" w:sz="0" w:space="0" w:color="auto" w:frame="1"/>
          <w:lang w:eastAsia="en-GB" w:bidi="bn-IN"/>
          <w14:ligatures w14:val="none"/>
        </w:rPr>
        <w:t>0xddf414c733a1c59de57f2304a20132e8f80b532ad5c35c518e5c00cd363b0f60</w:t>
      </w:r>
      <w:r w:rsidRPr="00E32AB7">
        <w:rPr>
          <w:rFonts w:eastAsia="Times New Roman" w:cs="Segoe UI"/>
          <w:kern w:val="0"/>
          <w:sz w:val="21"/>
          <w:szCs w:val="21"/>
          <w:lang w:eastAsia="en-GB" w:bidi="bn-IN"/>
          <w14:ligatures w14:val="none"/>
        </w:rPr>
        <w:t xml:space="preserve"> at Block 86. This deployment cost reflects the storage of bytecode for the ReacquisitionManager contract, which encapsulates complex decision logic for handling batch rejections, ethical violations, and regulatory audits. The transaction fee of </w:t>
      </w:r>
      <w:r w:rsidRPr="00E32AB7">
        <w:rPr>
          <w:rFonts w:eastAsia="Times New Roman" w:cs="Segoe UI"/>
          <w:b/>
          <w:bCs/>
          <w:kern w:val="0"/>
          <w:sz w:val="21"/>
          <w:szCs w:val="21"/>
          <w:bdr w:val="none" w:sz="0" w:space="0" w:color="auto" w:frame="1"/>
          <w:lang w:eastAsia="en-GB" w:bidi="bn-IN"/>
          <w14:ligatures w14:val="none"/>
        </w:rPr>
        <w:t>0.00000004121948008 ETH</w:t>
      </w:r>
      <w:r w:rsidRPr="00E32AB7">
        <w:rPr>
          <w:rFonts w:eastAsia="Times New Roman" w:cs="Segoe UI"/>
          <w:kern w:val="0"/>
          <w:sz w:val="21"/>
          <w:szCs w:val="21"/>
          <w:lang w:eastAsia="en-GB" w:bidi="bn-IN"/>
          <w14:ligatures w14:val="none"/>
        </w:rPr>
        <w:t xml:space="preserve"> (approximately $0.12 at $3,000/ETH) demonstrates the economic feasibility of deploying such infrastructure even on mainnet configurations. This one-time initialization cost is amortized across all subsequent mineral batches processed through the system, making it economically viable for long-term operations.</w:t>
      </w:r>
    </w:p>
    <w:p w14:paraId="06C8B292" w14:textId="77777777" w:rsidR="00E32AB7" w:rsidRPr="00E32AB7" w:rsidRDefault="00E32AB7" w:rsidP="00E32AB7">
      <w:pPr>
        <w:shd w:val="clear" w:color="auto" w:fill="FFFFFF"/>
        <w:spacing w:after="0" w:line="390" w:lineRule="atLeast"/>
        <w:jc w:val="both"/>
        <w:textAlignment w:val="baseline"/>
        <w:rPr>
          <w:rFonts w:eastAsia="Times New Roman" w:cs="Segoe UI"/>
          <w:kern w:val="0"/>
          <w:sz w:val="21"/>
          <w:szCs w:val="21"/>
          <w:lang w:eastAsia="en-GB" w:bidi="bn-IN"/>
          <w14:ligatures w14:val="none"/>
        </w:rPr>
      </w:pPr>
      <w:r w:rsidRPr="00E32AB7">
        <w:rPr>
          <w:rFonts w:eastAsia="Times New Roman" w:cs="Segoe UI"/>
          <w:kern w:val="0"/>
          <w:sz w:val="21"/>
          <w:szCs w:val="21"/>
          <w:lang w:eastAsia="en-GB" w:bidi="bn-IN"/>
          <w14:ligatures w14:val="none"/>
        </w:rPr>
        <w:lastRenderedPageBreak/>
        <w:t xml:space="preserve">The ZKP verification execution, representing the runtime cost of validating region-compliance proofs, consumed </w:t>
      </w:r>
      <w:r w:rsidRPr="00E32AB7">
        <w:rPr>
          <w:rFonts w:eastAsia="Times New Roman" w:cs="Segoe UI"/>
          <w:b/>
          <w:bCs/>
          <w:kern w:val="0"/>
          <w:sz w:val="21"/>
          <w:szCs w:val="21"/>
          <w:bdr w:val="none" w:sz="0" w:space="0" w:color="auto" w:frame="1"/>
          <w:lang w:eastAsia="en-GB" w:bidi="bn-IN"/>
          <w14:ligatures w14:val="none"/>
        </w:rPr>
        <w:t>293,560 gas</w:t>
      </w:r>
      <w:r w:rsidRPr="00E32AB7">
        <w:rPr>
          <w:rFonts w:eastAsia="Times New Roman" w:cs="Segoe UI"/>
          <w:kern w:val="0"/>
          <w:sz w:val="21"/>
          <w:szCs w:val="21"/>
          <w:lang w:eastAsia="en-GB" w:bidi="bn-IN"/>
          <w14:ligatures w14:val="none"/>
        </w:rPr>
        <w:t xml:space="preserve"> units with a transaction fee of </w:t>
      </w:r>
      <w:r w:rsidRPr="00E32AB7">
        <w:rPr>
          <w:rFonts w:eastAsia="Times New Roman" w:cs="Segoe UI"/>
          <w:b/>
          <w:bCs/>
          <w:kern w:val="0"/>
          <w:sz w:val="21"/>
          <w:szCs w:val="21"/>
          <w:bdr w:val="none" w:sz="0" w:space="0" w:color="auto" w:frame="1"/>
          <w:lang w:eastAsia="en-GB" w:bidi="bn-IN"/>
          <w14:ligatures w14:val="none"/>
        </w:rPr>
        <w:t>0.000000067071121 ETH</w:t>
      </w:r>
      <w:r w:rsidRPr="00E32AB7">
        <w:rPr>
          <w:rFonts w:eastAsia="Times New Roman" w:cs="Segoe UI"/>
          <w:kern w:val="0"/>
          <w:sz w:val="21"/>
          <w:szCs w:val="21"/>
          <w:lang w:eastAsia="en-GB" w:bidi="bn-IN"/>
          <w14:ligatures w14:val="none"/>
        </w:rPr>
        <w:t xml:space="preserve">. This gas consumption profile is critical for assessing operational costs in high-frequency traceability scenarios. When compared to traditional iTSCi manual traceability systems—which typically incur administrative overheads exceeding $50 per batch due to physical documentation, manual verification, and third-party auditing fees [4]—the BT-CMRS automated verification represents a cost reduction of over 95%. The </w:t>
      </w:r>
      <w:r w:rsidRPr="00E32AB7">
        <w:rPr>
          <w:rFonts w:eastAsia="Times New Roman" w:cs="Segoe UI"/>
          <w:b/>
          <w:bCs/>
          <w:kern w:val="0"/>
          <w:sz w:val="21"/>
          <w:szCs w:val="21"/>
          <w:bdr w:val="none" w:sz="0" w:space="0" w:color="auto" w:frame="1"/>
          <w:lang w:eastAsia="en-GB" w:bidi="bn-IN"/>
          <w14:ligatures w14:val="none"/>
        </w:rPr>
        <w:t>Overall Total Cost</w:t>
      </w:r>
      <w:r w:rsidRPr="00E32AB7">
        <w:rPr>
          <w:rFonts w:eastAsia="Times New Roman" w:cs="Segoe UI"/>
          <w:kern w:val="0"/>
          <w:sz w:val="21"/>
          <w:szCs w:val="21"/>
          <w:lang w:eastAsia="en-GB" w:bidi="bn-IN"/>
          <w14:ligatures w14:val="none"/>
        </w:rPr>
        <w:t xml:space="preserve"> of 2,816,172 gas units (0.00000010829060108 ETH) for complete system initialization and single ZKP verification provides a baseline for cost-benefit analyses and operational budgeting in mineral supply chains.</w:t>
      </w:r>
    </w:p>
    <w:p w14:paraId="795E19F3" w14:textId="77777777" w:rsidR="00FF3C4D" w:rsidRDefault="00FF3C4D" w:rsidP="00E32AB7"/>
    <w:p w14:paraId="723B740D" w14:textId="07C464AD" w:rsidR="00E32AB7" w:rsidRDefault="00E32AB7" w:rsidP="00E32AB7">
      <w:r w:rsidRPr="00E32AB7">
        <w:rPr>
          <w:noProof/>
        </w:rPr>
        <w:drawing>
          <wp:inline distT="0" distB="0" distL="0" distR="0" wp14:anchorId="1456E9FC" wp14:editId="2998C880">
            <wp:extent cx="5731510" cy="2472690"/>
            <wp:effectExtent l="0" t="0" r="0" b="3810"/>
            <wp:docPr id="107747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4883" name=""/>
                    <pic:cNvPicPr/>
                  </pic:nvPicPr>
                  <pic:blipFill>
                    <a:blip r:embed="rId4"/>
                    <a:stretch>
                      <a:fillRect/>
                    </a:stretch>
                  </pic:blipFill>
                  <pic:spPr>
                    <a:xfrm>
                      <a:off x="0" y="0"/>
                      <a:ext cx="5731510" cy="2472690"/>
                    </a:xfrm>
                    <a:prstGeom prst="rect">
                      <a:avLst/>
                    </a:prstGeom>
                  </pic:spPr>
                </pic:pic>
              </a:graphicData>
            </a:graphic>
          </wp:inline>
        </w:drawing>
      </w:r>
    </w:p>
    <w:p w14:paraId="132354E9"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Table 2 elucidates the consensus mechanism parameters and blockchain infrastructure characteristics underlying the BT-CMRS implementation. Although the implementation is conducted in a local Hardhat environment, equivalent consensus parameters are derived to emulate real blockchain behavior, ensuring that the system maintains essential blockchain properties such as integrity, decentralization logic, and cryptographic consistency.</w:t>
      </w:r>
    </w:p>
    <w:p w14:paraId="4D7D1D40"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system operates on a PoS consensus model, as evidenced by the Beacon Chain metrics and slot-based block production. The recorded </w:t>
      </w:r>
      <w:r w:rsidRPr="00E32AB7">
        <w:rPr>
          <w:rFonts w:ascii="inherit" w:eastAsia="Times New Roman" w:hAnsi="inherit" w:cs="Segoe UI"/>
          <w:b/>
          <w:bCs/>
          <w:kern w:val="0"/>
          <w:bdr w:val="none" w:sz="0" w:space="0" w:color="auto" w:frame="1"/>
          <w:lang w:eastAsia="en-GB" w:bidi="bn-IN"/>
          <w14:ligatures w14:val="none"/>
        </w:rPr>
        <w:t>Slot</w:t>
      </w:r>
      <w:r w:rsidRPr="00E32AB7">
        <w:rPr>
          <w:rFonts w:ascii="Segoe UI" w:eastAsia="Times New Roman" w:hAnsi="Segoe UI" w:cs="Segoe UI"/>
          <w:kern w:val="0"/>
          <w:lang w:eastAsia="en-GB" w:bidi="bn-IN"/>
          <w14:ligatures w14:val="none"/>
        </w:rPr>
        <w:t xml:space="preserve"> number 86 and </w:t>
      </w:r>
      <w:r w:rsidRPr="00E32AB7">
        <w:rPr>
          <w:rFonts w:ascii="inherit" w:eastAsia="Times New Roman" w:hAnsi="inherit" w:cs="Segoe UI"/>
          <w:b/>
          <w:bCs/>
          <w:kern w:val="0"/>
          <w:bdr w:val="none" w:sz="0" w:space="0" w:color="auto" w:frame="1"/>
          <w:lang w:eastAsia="en-GB" w:bidi="bn-IN"/>
          <w14:ligatures w14:val="none"/>
        </w:rPr>
        <w:t>Epoch</w:t>
      </w:r>
      <w:r w:rsidRPr="00E32AB7">
        <w:rPr>
          <w:rFonts w:ascii="Segoe UI" w:eastAsia="Times New Roman" w:hAnsi="Segoe UI" w:cs="Segoe UI"/>
          <w:kern w:val="0"/>
          <w:lang w:eastAsia="en-GB" w:bidi="bn-IN"/>
          <w14:ligatures w14:val="none"/>
        </w:rPr>
        <w:t xml:space="preserve"> 2 indicate the system's progression through the PoS consensus cycles, with each epoch comprising 32 slots (approximately 6.4 minutes). The </w:t>
      </w:r>
      <w:r w:rsidRPr="00E32AB7">
        <w:rPr>
          <w:rFonts w:ascii="inherit" w:eastAsia="Times New Roman" w:hAnsi="inherit" w:cs="Segoe UI"/>
          <w:b/>
          <w:bCs/>
          <w:kern w:val="0"/>
          <w:bdr w:val="none" w:sz="0" w:space="0" w:color="auto" w:frame="1"/>
          <w:lang w:eastAsia="en-GB" w:bidi="bn-IN"/>
          <w14:ligatures w14:val="none"/>
        </w:rPr>
        <w:t>Proposer Index</w:t>
      </w:r>
      <w:r w:rsidRPr="00E32AB7">
        <w:rPr>
          <w:rFonts w:ascii="Segoe UI" w:eastAsia="Times New Roman" w:hAnsi="Segoe UI" w:cs="Segoe UI"/>
          <w:kern w:val="0"/>
          <w:lang w:eastAsia="en-GB" w:bidi="bn-IN"/>
          <w14:ligatures w14:val="none"/>
        </w:rPr>
        <w:t xml:space="preserve"> of 309,854 represents the validator responsible for block proposal at this specific slot, demonstrating the decentralized nature of block production and ensuring that no single entity controls transaction ordering. The </w:t>
      </w:r>
      <w:r w:rsidRPr="00E32AB7">
        <w:rPr>
          <w:rFonts w:ascii="inherit" w:eastAsia="Times New Roman" w:hAnsi="inherit" w:cs="Segoe UI"/>
          <w:b/>
          <w:bCs/>
          <w:kern w:val="0"/>
          <w:bdr w:val="none" w:sz="0" w:space="0" w:color="auto" w:frame="1"/>
          <w:lang w:eastAsia="en-GB" w:bidi="bn-IN"/>
          <w14:ligatures w14:val="none"/>
        </w:rPr>
        <w:t>Slot Root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0x843a9c07026f181913e45bf5ea8dede6d4c84f497e2d22eca29995e27f8b24ed</w:t>
      </w:r>
      <w:r w:rsidRPr="00E32AB7">
        <w:rPr>
          <w:rFonts w:ascii="Segoe UI" w:eastAsia="Times New Roman" w:hAnsi="Segoe UI" w:cs="Segoe UI"/>
          <w:kern w:val="0"/>
          <w:lang w:eastAsia="en-GB" w:bidi="bn-IN"/>
          <w14:ligatures w14:val="none"/>
        </w:rPr>
        <w:t xml:space="preserve">) serves </w:t>
      </w:r>
      <w:r w:rsidRPr="00E32AB7">
        <w:rPr>
          <w:rFonts w:ascii="Segoe UI" w:eastAsia="Times New Roman" w:hAnsi="Segoe UI" w:cs="Segoe UI"/>
          <w:kern w:val="0"/>
          <w:lang w:eastAsia="en-GB" w:bidi="bn-IN"/>
          <w14:ligatures w14:val="none"/>
        </w:rPr>
        <w:lastRenderedPageBreak/>
        <w:t>as the cryptographic commitment to the beacon chain state, ensuring integrity of the randomness and validator set.</w:t>
      </w:r>
    </w:p>
    <w:p w14:paraId="53D7F957"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Notably, the </w:t>
      </w:r>
      <w:r w:rsidRPr="00E32AB7">
        <w:rPr>
          <w:rFonts w:ascii="inherit" w:eastAsia="Times New Roman" w:hAnsi="inherit" w:cs="Segoe UI"/>
          <w:b/>
          <w:bCs/>
          <w:kern w:val="0"/>
          <w:bdr w:val="none" w:sz="0" w:space="0" w:color="auto" w:frame="1"/>
          <w:lang w:eastAsia="en-GB" w:bidi="bn-IN"/>
          <w14:ligatures w14:val="none"/>
        </w:rPr>
        <w:t>Beacon Chain Deposit Count</w:t>
      </w:r>
      <w:r w:rsidRPr="00E32AB7">
        <w:rPr>
          <w:rFonts w:ascii="Segoe UI" w:eastAsia="Times New Roman" w:hAnsi="Segoe UI" w:cs="Segoe UI"/>
          <w:kern w:val="0"/>
          <w:lang w:eastAsia="en-GB" w:bidi="bn-IN"/>
          <w14:ligatures w14:val="none"/>
        </w:rPr>
        <w:t xml:space="preserve"> of 0 indicates the local testing environment, whereas production deployments would interface with the live beacon chain containing millions of validator deposits [5]. The </w:t>
      </w:r>
      <w:r w:rsidRPr="00E32AB7">
        <w:rPr>
          <w:rFonts w:ascii="inherit" w:eastAsia="Times New Roman" w:hAnsi="inherit" w:cs="Segoe UI"/>
          <w:b/>
          <w:bCs/>
          <w:kern w:val="0"/>
          <w:bdr w:val="none" w:sz="0" w:space="0" w:color="auto" w:frame="1"/>
          <w:lang w:eastAsia="en-GB" w:bidi="bn-IN"/>
          <w14:ligatures w14:val="none"/>
        </w:rPr>
        <w:t>Slot Graffiti</w:t>
      </w:r>
      <w:r w:rsidRPr="00E32AB7">
        <w:rPr>
          <w:rFonts w:ascii="Segoe UI" w:eastAsia="Times New Roman" w:hAnsi="Segoe UI" w:cs="Segoe UI"/>
          <w:kern w:val="0"/>
          <w:lang w:eastAsia="en-GB" w:bidi="bn-IN"/>
          <w14:ligatures w14:val="none"/>
        </w:rPr>
        <w:t xml:space="preserve"> field (empty in testing) typically contains client identification or miner metadata in operational networks. The </w:t>
      </w:r>
      <w:r w:rsidRPr="00E32AB7">
        <w:rPr>
          <w:rFonts w:ascii="inherit" w:eastAsia="Times New Roman" w:hAnsi="inherit" w:cs="Segoe UI"/>
          <w:b/>
          <w:bCs/>
          <w:kern w:val="0"/>
          <w:bdr w:val="none" w:sz="0" w:space="0" w:color="auto" w:frame="1"/>
          <w:lang w:eastAsia="en-GB" w:bidi="bn-IN"/>
          <w14:ligatures w14:val="none"/>
        </w:rPr>
        <w:t>Block Randomness</w:t>
      </w:r>
      <w:r w:rsidRPr="00E32AB7">
        <w:rPr>
          <w:rFonts w:ascii="Segoe UI" w:eastAsia="Times New Roman" w:hAnsi="Segoe UI" w:cs="Segoe UI"/>
          <w:kern w:val="0"/>
          <w:lang w:eastAsia="en-GB" w:bidi="bn-IN"/>
          <w14:ligatures w14:val="none"/>
        </w:rPr>
        <w:t xml:space="preserve"> value (</w:t>
      </w:r>
      <w:r w:rsidRPr="00E32AB7">
        <w:rPr>
          <w:rFonts w:ascii="Courier New" w:eastAsia="Times New Roman" w:hAnsi="Courier New" w:cs="Courier New"/>
          <w:kern w:val="0"/>
          <w:sz w:val="20"/>
          <w:szCs w:val="20"/>
          <w:bdr w:val="none" w:sz="0" w:space="0" w:color="auto" w:frame="1"/>
          <w:lang w:eastAsia="en-GB" w:bidi="bn-IN"/>
          <w14:ligatures w14:val="none"/>
        </w:rPr>
        <w:t>0x0644bcb611cca904873041960ae45dc9672feea6947bdb28ca0d6e399a368f01</w:t>
      </w:r>
      <w:r w:rsidRPr="00E32AB7">
        <w:rPr>
          <w:rFonts w:ascii="Segoe UI" w:eastAsia="Times New Roman" w:hAnsi="Segoe UI" w:cs="Segoe UI"/>
          <w:kern w:val="0"/>
          <w:lang w:eastAsia="en-GB" w:bidi="bn-IN"/>
          <w14:ligatures w14:val="none"/>
        </w:rPr>
        <w:t>) provides the cryptographic entropy required for fair validator selection, critical for preventing prediction of block proposers and ensuring unbiased transaction ordering in mineral batch validations. This randomness prevents malicious actors from targeting specific miners or smelters for transaction censorship, ensuring fair access to the traceability system for all supply chain participants.</w:t>
      </w:r>
    </w:p>
    <w:p w14:paraId="297F182A" w14:textId="77777777" w:rsidR="00E32AB7" w:rsidRDefault="00E32AB7" w:rsidP="00E32AB7">
      <w:pPr>
        <w:shd w:val="clear" w:color="auto" w:fill="FFFFFF"/>
        <w:spacing w:after="0" w:line="240" w:lineRule="auto"/>
        <w:textAlignment w:val="baseline"/>
        <w:rPr>
          <w:rFonts w:ascii="inherit" w:eastAsia="Times New Roman" w:hAnsi="inherit" w:cs="Segoe UI"/>
          <w:b/>
          <w:bCs/>
          <w:kern w:val="0"/>
          <w:bdr w:val="none" w:sz="0" w:space="0" w:color="auto" w:frame="1"/>
          <w:lang w:eastAsia="en-GB" w:bidi="bn-IN"/>
          <w14:ligatures w14:val="none"/>
        </w:rPr>
      </w:pPr>
    </w:p>
    <w:p w14:paraId="5E81C106" w14:textId="2756015D" w:rsidR="00E32AB7" w:rsidRDefault="00E32AB7" w:rsidP="00E32AB7">
      <w:pPr>
        <w:shd w:val="clear" w:color="auto" w:fill="FFFFFF"/>
        <w:spacing w:after="0" w:line="240" w:lineRule="auto"/>
        <w:textAlignment w:val="baseline"/>
        <w:rPr>
          <w:rFonts w:ascii="Segoe UI" w:eastAsia="Times New Roman" w:hAnsi="Segoe UI" w:cs="Segoe UI"/>
          <w:spacing w:val="8"/>
          <w:kern w:val="0"/>
          <w:sz w:val="21"/>
          <w:szCs w:val="21"/>
          <w:lang w:eastAsia="en-GB" w:bidi="bn-IN"/>
          <w14:ligatures w14:val="none"/>
        </w:rPr>
      </w:pPr>
      <w:r w:rsidRPr="00E32AB7">
        <w:rPr>
          <w:rFonts w:ascii="Segoe UI" w:eastAsia="Times New Roman" w:hAnsi="Segoe UI" w:cs="Segoe UI"/>
          <w:noProof/>
          <w:spacing w:val="8"/>
          <w:kern w:val="0"/>
          <w:sz w:val="21"/>
          <w:szCs w:val="21"/>
          <w:lang w:eastAsia="en-GB" w:bidi="bn-IN"/>
          <w14:ligatures w14:val="none"/>
        </w:rPr>
        <w:drawing>
          <wp:inline distT="0" distB="0" distL="0" distR="0" wp14:anchorId="20C2C1A3" wp14:editId="0E2472D5">
            <wp:extent cx="5731510" cy="2225040"/>
            <wp:effectExtent l="0" t="0" r="0" b="0"/>
            <wp:docPr id="35746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4895" name=""/>
                    <pic:cNvPicPr/>
                  </pic:nvPicPr>
                  <pic:blipFill>
                    <a:blip r:embed="rId5"/>
                    <a:stretch>
                      <a:fillRect/>
                    </a:stretch>
                  </pic:blipFill>
                  <pic:spPr>
                    <a:xfrm>
                      <a:off x="0" y="0"/>
                      <a:ext cx="5731510" cy="2225040"/>
                    </a:xfrm>
                    <a:prstGeom prst="rect">
                      <a:avLst/>
                    </a:prstGeom>
                  </pic:spPr>
                </pic:pic>
              </a:graphicData>
            </a:graphic>
          </wp:inline>
        </w:drawing>
      </w:r>
    </w:p>
    <w:p w14:paraId="54BDE846" w14:textId="77777777" w:rsidR="00E32AB7" w:rsidRDefault="00E32AB7" w:rsidP="00E32AB7">
      <w:pPr>
        <w:shd w:val="clear" w:color="auto" w:fill="FFFFFF"/>
        <w:spacing w:after="0" w:line="240" w:lineRule="auto"/>
        <w:textAlignment w:val="baseline"/>
        <w:rPr>
          <w:rFonts w:ascii="Segoe UI" w:eastAsia="Times New Roman" w:hAnsi="Segoe UI" w:cs="Segoe UI"/>
          <w:spacing w:val="8"/>
          <w:kern w:val="0"/>
          <w:sz w:val="21"/>
          <w:szCs w:val="21"/>
          <w:lang w:eastAsia="en-GB" w:bidi="bn-IN"/>
          <w14:ligatures w14:val="none"/>
        </w:rPr>
      </w:pPr>
    </w:p>
    <w:p w14:paraId="39F72CCC" w14:textId="77777777" w:rsidR="00E32AB7" w:rsidRPr="00E32AB7" w:rsidRDefault="00E32AB7" w:rsidP="00E32AB7">
      <w:pPr>
        <w:shd w:val="clear" w:color="auto" w:fill="FFFFFF"/>
        <w:spacing w:after="0" w:line="390" w:lineRule="atLeast"/>
        <w:textAlignment w:val="baseline"/>
        <w:outlineLvl w:val="2"/>
        <w:rPr>
          <w:rFonts w:ascii="Segoe UI" w:eastAsia="Times New Roman" w:hAnsi="Segoe UI" w:cs="Segoe UI"/>
          <w:b/>
          <w:bCs/>
          <w:kern w:val="0"/>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4.4 Smart Contract Execution and State Management</w:t>
      </w:r>
    </w:p>
    <w:p w14:paraId="5A7E5B0F"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Table 3 provides granular execution metrics for BT-CMRS smart contract operations, providing insights into computational complexity and resource utilization. The transaction hash </w:t>
      </w:r>
      <w:r w:rsidRPr="00E32AB7">
        <w:rPr>
          <w:rFonts w:ascii="Courier New" w:eastAsia="Times New Roman" w:hAnsi="Courier New" w:cs="Courier New"/>
          <w:kern w:val="0"/>
          <w:sz w:val="20"/>
          <w:szCs w:val="20"/>
          <w:bdr w:val="none" w:sz="0" w:space="0" w:color="auto" w:frame="1"/>
          <w:lang w:eastAsia="en-GB" w:bidi="bn-IN"/>
          <w14:ligatures w14:val="none"/>
        </w:rPr>
        <w:t>0x7fdee4002bb0482e5673e46bc9221534976144fe1988ce7047dd2b63d1cffd5d</w:t>
      </w:r>
      <w:r w:rsidRPr="00E32AB7">
        <w:rPr>
          <w:rFonts w:ascii="Segoe UI" w:eastAsia="Times New Roman" w:hAnsi="Segoe UI" w:cs="Segoe UI"/>
          <w:kern w:val="0"/>
          <w:lang w:eastAsia="en-GB" w:bidi="bn-IN"/>
          <w14:ligatures w14:val="none"/>
        </w:rPr>
        <w:t xml:space="preserve"> corresponds to a ZKP verification operation, executed at Block 66 with a </w:t>
      </w:r>
      <w:r w:rsidRPr="00E32AB7">
        <w:rPr>
          <w:rFonts w:ascii="inherit" w:eastAsia="Times New Roman" w:hAnsi="inherit" w:cs="Segoe UI"/>
          <w:b/>
          <w:bCs/>
          <w:kern w:val="0"/>
          <w:bdr w:val="none" w:sz="0" w:space="0" w:color="auto" w:frame="1"/>
          <w:lang w:eastAsia="en-GB" w:bidi="bn-IN"/>
          <w14:ligatures w14:val="none"/>
        </w:rPr>
        <w:t>Nonce</w:t>
      </w:r>
      <w:r w:rsidRPr="00E32AB7">
        <w:rPr>
          <w:rFonts w:ascii="Segoe UI" w:eastAsia="Times New Roman" w:hAnsi="Segoe UI" w:cs="Segoe UI"/>
          <w:kern w:val="0"/>
          <w:lang w:eastAsia="en-GB" w:bidi="bn-IN"/>
          <w14:ligatures w14:val="none"/>
        </w:rPr>
        <w:t xml:space="preserve"> of 12, indicating sequential transaction ordering from the deploying account.</w:t>
      </w:r>
    </w:p>
    <w:p w14:paraId="3C783D32"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Transaction Fee</w:t>
      </w:r>
      <w:r w:rsidRPr="00E32AB7">
        <w:rPr>
          <w:rFonts w:ascii="Segoe UI" w:eastAsia="Times New Roman" w:hAnsi="Segoe UI" w:cs="Segoe UI"/>
          <w:kern w:val="0"/>
          <w:lang w:eastAsia="en-GB" w:bidi="bn-IN"/>
          <w14:ligatures w14:val="none"/>
        </w:rPr>
        <w:t xml:space="preserve"> of 0.000000067071121 ETH reflects the EIP-1559 fee market mechanism, comprising a </w:t>
      </w:r>
      <w:r w:rsidRPr="00E32AB7">
        <w:rPr>
          <w:rFonts w:ascii="inherit" w:eastAsia="Times New Roman" w:hAnsi="inherit" w:cs="Segoe UI"/>
          <w:b/>
          <w:bCs/>
          <w:kern w:val="0"/>
          <w:bdr w:val="none" w:sz="0" w:space="0" w:color="auto" w:frame="1"/>
          <w:lang w:eastAsia="en-GB" w:bidi="bn-IN"/>
          <w14:ligatures w14:val="none"/>
        </w:rPr>
        <w:t>Base Fee</w:t>
      </w:r>
      <w:r w:rsidRPr="00E32AB7">
        <w:rPr>
          <w:rFonts w:ascii="Segoe UI" w:eastAsia="Times New Roman" w:hAnsi="Segoe UI" w:cs="Segoe UI"/>
          <w:kern w:val="0"/>
          <w:lang w:eastAsia="en-GB" w:bidi="bn-IN"/>
          <w14:ligatures w14:val="none"/>
        </w:rPr>
        <w:t xml:space="preserve"> of 0.000180524 Gwei and </w:t>
      </w:r>
      <w:r w:rsidRPr="00E32AB7">
        <w:rPr>
          <w:rFonts w:ascii="inherit" w:eastAsia="Times New Roman" w:hAnsi="inherit" w:cs="Segoe UI"/>
          <w:b/>
          <w:bCs/>
          <w:kern w:val="0"/>
          <w:bdr w:val="none" w:sz="0" w:space="0" w:color="auto" w:frame="1"/>
          <w:lang w:eastAsia="en-GB" w:bidi="bn-IN"/>
          <w14:ligatures w14:val="none"/>
        </w:rPr>
        <w:t>Max Priority Fee</w:t>
      </w:r>
      <w:r w:rsidRPr="00E32AB7">
        <w:rPr>
          <w:rFonts w:ascii="Segoe UI" w:eastAsia="Times New Roman" w:hAnsi="Segoe UI" w:cs="Segoe UI"/>
          <w:kern w:val="0"/>
          <w:lang w:eastAsia="en-GB" w:bidi="bn-IN"/>
          <w14:ligatures w14:val="none"/>
        </w:rPr>
        <w:t xml:space="preserve"> of 0.000054725 Gwei. This fee structure ensures predictable transaction costs while allowing prioritization of critical mineral batch registrations during network congestion [6]. The </w:t>
      </w:r>
      <w:r w:rsidRPr="00E32AB7">
        <w:rPr>
          <w:rFonts w:ascii="inherit" w:eastAsia="Times New Roman" w:hAnsi="inherit" w:cs="Segoe UI"/>
          <w:b/>
          <w:bCs/>
          <w:kern w:val="0"/>
          <w:bdr w:val="none" w:sz="0" w:space="0" w:color="auto" w:frame="1"/>
          <w:lang w:eastAsia="en-GB" w:bidi="bn-IN"/>
          <w14:ligatures w14:val="none"/>
        </w:rPr>
        <w:t>Gas Limit and Usage</w:t>
      </w:r>
      <w:r w:rsidRPr="00E32AB7">
        <w:rPr>
          <w:rFonts w:ascii="Segoe UI" w:eastAsia="Times New Roman" w:hAnsi="Segoe UI" w:cs="Segoe UI"/>
          <w:kern w:val="0"/>
          <w:lang w:eastAsia="en-GB" w:bidi="bn-IN"/>
          <w14:ligatures w14:val="none"/>
        </w:rPr>
        <w:t xml:space="preserve"> metric (16,777,216 and 293,560 </w:t>
      </w:r>
      <w:r w:rsidRPr="00E32AB7">
        <w:rPr>
          <w:rFonts w:ascii="Segoe UI" w:eastAsia="Times New Roman" w:hAnsi="Segoe UI" w:cs="Segoe UI"/>
          <w:kern w:val="0"/>
          <w:lang w:eastAsia="en-GB" w:bidi="bn-IN"/>
          <w14:ligatures w14:val="none"/>
        </w:rPr>
        <w:lastRenderedPageBreak/>
        <w:t>respectively) indicates efficient gas utilization at 1.74% of the block limit, suggesting substantial capacity for batch processing and concurrent ZKP verifications within single blocks. This efficient utilization means that approximately 50-60 ZKP verifications could theoretically be processed in a single block without network congestion.</w:t>
      </w:r>
    </w:p>
    <w:p w14:paraId="6BD06C78"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Transaction Type</w:t>
      </w:r>
      <w:r w:rsidRPr="00E32AB7">
        <w:rPr>
          <w:rFonts w:ascii="Segoe UI" w:eastAsia="Times New Roman" w:hAnsi="Segoe UI" w:cs="Segoe UI"/>
          <w:kern w:val="0"/>
          <w:lang w:eastAsia="en-GB" w:bidi="bn-IN"/>
          <w14:ligatures w14:val="none"/>
        </w:rPr>
        <w:t xml:space="preserve"> 2 (EIP-1559) confirms the implementation of modern Ethereum transaction semantics, supporting dynamic base fee adjustments essential for long-running supply chain operations spanning multiple epochs. The </w:t>
      </w:r>
      <w:r w:rsidRPr="00E32AB7">
        <w:rPr>
          <w:rFonts w:ascii="inherit" w:eastAsia="Times New Roman" w:hAnsi="inherit" w:cs="Segoe UI"/>
          <w:b/>
          <w:bCs/>
          <w:kern w:val="0"/>
          <w:bdr w:val="none" w:sz="0" w:space="0" w:color="auto" w:frame="1"/>
          <w:lang w:eastAsia="en-GB" w:bidi="bn-IN"/>
          <w14:ligatures w14:val="none"/>
        </w:rPr>
        <w:t>Block Position</w:t>
      </w:r>
      <w:r w:rsidRPr="00E32AB7">
        <w:rPr>
          <w:rFonts w:ascii="Segoe UI" w:eastAsia="Times New Roman" w:hAnsi="Segoe UI" w:cs="Segoe UI"/>
          <w:kern w:val="0"/>
          <w:lang w:eastAsia="en-GB" w:bidi="bn-IN"/>
          <w14:ligatures w14:val="none"/>
        </w:rPr>
        <w:t xml:space="preserve"> of 0 signifies this transaction as the first in the block, indicating successful prioritization by the block proposer—a critical factor for time-sensitive reacquisition decisions in conflict mineral workflows where delayed verification could result in financial losses or regulatory non-compliance.</w:t>
      </w:r>
    </w:p>
    <w:p w14:paraId="35DE3879" w14:textId="77777777"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Block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0x56ad359317d880c2140812f76fd796272a60fcbed54ee428b3015d3fd28dcaa2</w:t>
      </w:r>
      <w:r w:rsidRPr="00E32AB7">
        <w:rPr>
          <w:rFonts w:ascii="Segoe UI" w:eastAsia="Times New Roman" w:hAnsi="Segoe UI" w:cs="Segoe UI"/>
          <w:kern w:val="0"/>
          <w:lang w:eastAsia="en-GB" w:bidi="bn-IN"/>
          <w14:ligatures w14:val="none"/>
        </w:rPr>
        <w:t xml:space="preserve">) and </w:t>
      </w:r>
      <w:r w:rsidRPr="00E32AB7">
        <w:rPr>
          <w:rFonts w:ascii="inherit" w:eastAsia="Times New Roman" w:hAnsi="inherit" w:cs="Segoe UI"/>
          <w:b/>
          <w:bCs/>
          <w:kern w:val="0"/>
          <w:bdr w:val="none" w:sz="0" w:space="0" w:color="auto" w:frame="1"/>
          <w:lang w:eastAsia="en-GB" w:bidi="bn-IN"/>
          <w14:ligatures w14:val="none"/>
        </w:rPr>
        <w:t>Parent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0x3a48ad6826174edbda893c62a02b4e7c0f5e5d3ae25361e0d7edec5e7cf89186</w:t>
      </w:r>
      <w:r w:rsidRPr="00E32AB7">
        <w:rPr>
          <w:rFonts w:ascii="Segoe UI" w:eastAsia="Times New Roman" w:hAnsi="Segoe UI" w:cs="Segoe UI"/>
          <w:kern w:val="0"/>
          <w:lang w:eastAsia="en-GB" w:bidi="bn-IN"/>
          <w14:ligatures w14:val="none"/>
        </w:rPr>
        <w:t>) establish a secure linkage between consecutive blocks, ensuring immutability through hash chaining. This cryptographic structure ensures that mineral batch histories cannot be retroactively altered without detection, providing the audit trail integrity required by OECD Due Diligence Guidelines [4].</w:t>
      </w:r>
    </w:p>
    <w:p w14:paraId="0B1541A9"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29293D9E" w14:textId="77777777" w:rsidR="00E32AB7" w:rsidRDefault="00E32AB7" w:rsidP="00E32AB7">
      <w:pPr>
        <w:shd w:val="clear" w:color="auto" w:fill="FFFFFF"/>
        <w:spacing w:after="0" w:line="390" w:lineRule="atLeast"/>
        <w:textAlignment w:val="baseline"/>
        <w:rPr>
          <w:rFonts w:ascii="inherit" w:eastAsia="Times New Roman" w:hAnsi="inherit" w:cs="Segoe UI"/>
          <w:b/>
          <w:bCs/>
          <w:kern w:val="0"/>
          <w:bdr w:val="none" w:sz="0" w:space="0" w:color="auto" w:frame="1"/>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Table 3. Smart Contract Execution Details in the BT-CMRS Framework</w:t>
      </w:r>
    </w:p>
    <w:p w14:paraId="01B7865E" w14:textId="77777777" w:rsidR="00E32AB7" w:rsidRDefault="00E32AB7" w:rsidP="00E32AB7">
      <w:pPr>
        <w:shd w:val="clear" w:color="auto" w:fill="FFFFFF"/>
        <w:spacing w:after="0" w:line="390" w:lineRule="atLeast"/>
        <w:textAlignment w:val="baseline"/>
        <w:rPr>
          <w:rFonts w:ascii="inherit" w:eastAsia="Times New Roman" w:hAnsi="inherit" w:cs="Segoe UI"/>
          <w:b/>
          <w:bCs/>
          <w:kern w:val="0"/>
          <w:bdr w:val="none" w:sz="0" w:space="0" w:color="auto" w:frame="1"/>
          <w:lang w:eastAsia="en-GB" w:bidi="bn-IN"/>
          <w14:ligatures w14:val="none"/>
        </w:rPr>
      </w:pPr>
    </w:p>
    <w:p w14:paraId="3E4BEBD8" w14:textId="17805C85"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noProof/>
          <w:kern w:val="0"/>
          <w:lang w:eastAsia="en-GB" w:bidi="bn-IN"/>
          <w14:ligatures w14:val="none"/>
        </w:rPr>
        <w:drawing>
          <wp:inline distT="0" distB="0" distL="0" distR="0" wp14:anchorId="326A1343" wp14:editId="574075EA">
            <wp:extent cx="6483468" cy="2833734"/>
            <wp:effectExtent l="0" t="0" r="0" b="0"/>
            <wp:docPr id="73859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98053" name=""/>
                    <pic:cNvPicPr/>
                  </pic:nvPicPr>
                  <pic:blipFill>
                    <a:blip r:embed="rId6"/>
                    <a:stretch>
                      <a:fillRect/>
                    </a:stretch>
                  </pic:blipFill>
                  <pic:spPr>
                    <a:xfrm>
                      <a:off x="0" y="0"/>
                      <a:ext cx="6490433" cy="2836778"/>
                    </a:xfrm>
                    <a:prstGeom prst="rect">
                      <a:avLst/>
                    </a:prstGeom>
                  </pic:spPr>
                </pic:pic>
              </a:graphicData>
            </a:graphic>
          </wp:inline>
        </w:drawing>
      </w:r>
    </w:p>
    <w:p w14:paraId="42E9BD2E" w14:textId="77777777" w:rsidR="00E32AB7" w:rsidRPr="00E32AB7" w:rsidRDefault="00E32AB7" w:rsidP="00E32AB7">
      <w:pPr>
        <w:shd w:val="clear" w:color="auto" w:fill="FFFFFF"/>
        <w:spacing w:after="0" w:line="240" w:lineRule="auto"/>
        <w:textAlignment w:val="baseline"/>
        <w:rPr>
          <w:rFonts w:ascii="Segoe UI" w:eastAsia="Times New Roman" w:hAnsi="Segoe UI" w:cs="Segoe UI"/>
          <w:spacing w:val="8"/>
          <w:kern w:val="0"/>
          <w:sz w:val="21"/>
          <w:szCs w:val="21"/>
          <w:lang w:eastAsia="en-GB" w:bidi="bn-IN"/>
          <w14:ligatures w14:val="none"/>
        </w:rPr>
      </w:pPr>
    </w:p>
    <w:p w14:paraId="48C0F405" w14:textId="77777777" w:rsidR="00E32AB7" w:rsidRPr="00E32AB7" w:rsidRDefault="00E32AB7" w:rsidP="00E32AB7">
      <w:pPr>
        <w:spacing w:after="0" w:line="240" w:lineRule="auto"/>
        <w:rPr>
          <w:rFonts w:ascii="Times New Roman" w:eastAsia="Times New Roman" w:hAnsi="Times New Roman" w:cs="Times New Roman"/>
          <w:kern w:val="0"/>
          <w:lang w:eastAsia="en-GB" w:bidi="bn-IN"/>
          <w14:ligatures w14:val="none"/>
        </w:rPr>
      </w:pPr>
    </w:p>
    <w:p w14:paraId="78611AE7" w14:textId="77777777" w:rsidR="00E32AB7" w:rsidRDefault="00E32AB7" w:rsidP="00E32AB7"/>
    <w:p w14:paraId="56FAD9E2"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Table 4 provides a detailed breakdown of the Zero-Knowledge Proof verification transaction costs, demonstrating the practical implementation of privacy-preserving region validation. This transaction represents the on-chain verification of a miner's proof that their extraction coordinates fall within an approved geographic boundary without revealing exact latitude/longitude values.</w:t>
      </w:r>
    </w:p>
    <w:p w14:paraId="70859E65"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transaction occurred at </w:t>
      </w:r>
      <w:r w:rsidRPr="00E32AB7">
        <w:rPr>
          <w:rFonts w:ascii="inherit" w:eastAsia="Times New Roman" w:hAnsi="inherit" w:cs="Segoe UI"/>
          <w:b/>
          <w:bCs/>
          <w:kern w:val="0"/>
          <w:bdr w:val="none" w:sz="0" w:space="0" w:color="auto" w:frame="1"/>
          <w:lang w:eastAsia="en-GB" w:bidi="bn-IN"/>
          <w14:ligatures w14:val="none"/>
        </w:rPr>
        <w:t>Block Number</w:t>
      </w:r>
      <w:r w:rsidRPr="00E32AB7">
        <w:rPr>
          <w:rFonts w:ascii="Segoe UI" w:eastAsia="Times New Roman" w:hAnsi="Segoe UI" w:cs="Segoe UI"/>
          <w:kern w:val="0"/>
          <w:lang w:eastAsia="en-GB" w:bidi="bn-IN"/>
          <w14:ligatures w14:val="none"/>
        </w:rPr>
        <w:t xml:space="preserve"> 66, utilizing 293,560 gas (1.74% of the block limit), consistent with the gas profile of BN254 pairing operations required for Groth16 verification [3]. The </w:t>
      </w:r>
      <w:r w:rsidRPr="00E32AB7">
        <w:rPr>
          <w:rFonts w:ascii="inherit" w:eastAsia="Times New Roman" w:hAnsi="inherit" w:cs="Segoe UI"/>
          <w:b/>
          <w:bCs/>
          <w:kern w:val="0"/>
          <w:bdr w:val="none" w:sz="0" w:space="0" w:color="auto" w:frame="1"/>
          <w:lang w:eastAsia="en-GB" w:bidi="bn-IN"/>
          <w14:ligatures w14:val="none"/>
        </w:rPr>
        <w:t>Transaction Fee</w:t>
      </w:r>
      <w:r w:rsidRPr="00E32AB7">
        <w:rPr>
          <w:rFonts w:ascii="Segoe UI" w:eastAsia="Times New Roman" w:hAnsi="Segoe UI" w:cs="Segoe UI"/>
          <w:kern w:val="0"/>
          <w:lang w:eastAsia="en-GB" w:bidi="bn-IN"/>
          <w14:ligatures w14:val="none"/>
        </w:rPr>
        <w:t xml:space="preserve"> of 0.000000067071121 ETH demonstrates the cost-effectiveness of ZKP verification, approximately $0.20 at current prices, making it economically viable for artisanal mining cooperatives to validate batch provenance repeatedly throughout the supply chain. When extrapolated across a typical month where a small-scale mine might process 20-30 batches, the total verification cost remains under $5—compared to iTSCi administrative costs that can exceed $1,000 monthly for equivalent documentation and verification services [4].</w:t>
      </w:r>
    </w:p>
    <w:p w14:paraId="511A8D17"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cost structure reveals that </w:t>
      </w:r>
      <w:r w:rsidRPr="00E32AB7">
        <w:rPr>
          <w:rFonts w:ascii="inherit" w:eastAsia="Times New Roman" w:hAnsi="inherit" w:cs="Segoe UI"/>
          <w:b/>
          <w:bCs/>
          <w:kern w:val="0"/>
          <w:bdr w:val="none" w:sz="0" w:space="0" w:color="auto" w:frame="1"/>
          <w:lang w:eastAsia="en-GB" w:bidi="bn-IN"/>
          <w14:ligatures w14:val="none"/>
        </w:rPr>
        <w:t>Code Deposit</w:t>
      </w:r>
      <w:r w:rsidRPr="00E32AB7">
        <w:rPr>
          <w:rFonts w:ascii="Segoe UI" w:eastAsia="Times New Roman" w:hAnsi="Segoe UI" w:cs="Segoe UI"/>
          <w:kern w:val="0"/>
          <w:lang w:eastAsia="en-GB" w:bidi="bn-IN"/>
          <w14:ligatures w14:val="none"/>
        </w:rPr>
        <w:t xml:space="preserve"> (deployment) consumed 2,522,612 gas compared to </w:t>
      </w:r>
      <w:r w:rsidRPr="00E32AB7">
        <w:rPr>
          <w:rFonts w:ascii="inherit" w:eastAsia="Times New Roman" w:hAnsi="inherit" w:cs="Segoe UI"/>
          <w:b/>
          <w:bCs/>
          <w:kern w:val="0"/>
          <w:bdr w:val="none" w:sz="0" w:space="0" w:color="auto" w:frame="1"/>
          <w:lang w:eastAsia="en-GB" w:bidi="bn-IN"/>
          <w14:ligatures w14:val="none"/>
        </w:rPr>
        <w:t>Execution</w:t>
      </w:r>
      <w:r w:rsidRPr="00E32AB7">
        <w:rPr>
          <w:rFonts w:ascii="Segoe UI" w:eastAsia="Times New Roman" w:hAnsi="Segoe UI" w:cs="Segoe UI"/>
          <w:kern w:val="0"/>
          <w:lang w:eastAsia="en-GB" w:bidi="bn-IN"/>
          <w14:ligatures w14:val="none"/>
        </w:rPr>
        <w:t xml:space="preserve"> (ZKP verification) at 293,560 gas—indicating that operational costs remain lightweight relative to initial deployment. This cost structure incentivizes long-term system adoption, as the break-even point occurs rapidly for mining cooperatives processing multiple batches monthly. The consistent gas consumption across multiple test iterations (standard deviation &lt;2%) indicates reliable computational complexity, enabling accurate cost forecasting for operational budgeting in mineral traceability.</w:t>
      </w:r>
    </w:p>
    <w:p w14:paraId="7AE99A07" w14:textId="77777777" w:rsidR="00E32AB7" w:rsidRDefault="00E32AB7" w:rsidP="00E32AB7"/>
    <w:p w14:paraId="61B4E7E4" w14:textId="77777777" w:rsidR="00E32AB7" w:rsidRDefault="00E32AB7" w:rsidP="00E32AB7"/>
    <w:p w14:paraId="159DB6D4" w14:textId="77777777" w:rsidR="00E32AB7" w:rsidRDefault="00E32AB7" w:rsidP="00E32AB7"/>
    <w:p w14:paraId="48881794" w14:textId="07B9C92D" w:rsidR="00E32AB7" w:rsidRDefault="00E32AB7" w:rsidP="00E32AB7">
      <w:r w:rsidRPr="00E32AB7">
        <w:rPr>
          <w:noProof/>
        </w:rPr>
        <w:drawing>
          <wp:inline distT="0" distB="0" distL="0" distR="0" wp14:anchorId="7D6777F2" wp14:editId="091C2626">
            <wp:extent cx="5731510" cy="626110"/>
            <wp:effectExtent l="0" t="0" r="0" b="0"/>
            <wp:docPr id="19775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48943" name=""/>
                    <pic:cNvPicPr/>
                  </pic:nvPicPr>
                  <pic:blipFill>
                    <a:blip r:embed="rId7"/>
                    <a:stretch>
                      <a:fillRect/>
                    </a:stretch>
                  </pic:blipFill>
                  <pic:spPr>
                    <a:xfrm>
                      <a:off x="0" y="0"/>
                      <a:ext cx="5731510" cy="626110"/>
                    </a:xfrm>
                    <a:prstGeom prst="rect">
                      <a:avLst/>
                    </a:prstGeom>
                  </pic:spPr>
                </pic:pic>
              </a:graphicData>
            </a:graphic>
          </wp:inline>
        </w:drawing>
      </w:r>
    </w:p>
    <w:p w14:paraId="06D23ADF" w14:textId="77777777" w:rsidR="00E32AB7" w:rsidRDefault="00E32AB7" w:rsidP="00E32AB7"/>
    <w:p w14:paraId="2A698F3F" w14:textId="77777777" w:rsidR="00E32AB7" w:rsidRDefault="00E32AB7" w:rsidP="00E32AB7"/>
    <w:p w14:paraId="2AC95BBD" w14:textId="77777777" w:rsidR="00E32AB7" w:rsidRDefault="00E32AB7" w:rsidP="00E32AB7"/>
    <w:p w14:paraId="71B69FAB"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lastRenderedPageBreak/>
        <w:t xml:space="preserve">Table 5 presents block-level metrics for ZKP transactions within the BT-CMRS framework, offering insights into blockchain storage efficiency and state management. The </w:t>
      </w:r>
      <w:r w:rsidRPr="00E32AB7">
        <w:rPr>
          <w:rFonts w:ascii="inherit" w:eastAsia="Times New Roman" w:hAnsi="inherit" w:cs="Segoe UI"/>
          <w:b/>
          <w:bCs/>
          <w:kern w:val="0"/>
          <w:bdr w:val="none" w:sz="0" w:space="0" w:color="auto" w:frame="1"/>
          <w:lang w:eastAsia="en-GB" w:bidi="bn-IN"/>
          <w14:ligatures w14:val="none"/>
        </w:rPr>
        <w:t>Block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0x56ad359317d880c2140812f76fd796272a60fcbed54ee428b3015d3fd28dcaa2</w:t>
      </w:r>
      <w:r w:rsidRPr="00E32AB7">
        <w:rPr>
          <w:rFonts w:ascii="Segoe UI" w:eastAsia="Times New Roman" w:hAnsi="Segoe UI" w:cs="Segoe UI"/>
          <w:kern w:val="0"/>
          <w:lang w:eastAsia="en-GB" w:bidi="bn-IN"/>
          <w14:ligatures w14:val="none"/>
        </w:rPr>
        <w:t xml:space="preserve">) and </w:t>
      </w:r>
      <w:r w:rsidRPr="00E32AB7">
        <w:rPr>
          <w:rFonts w:ascii="inherit" w:eastAsia="Times New Roman" w:hAnsi="inherit" w:cs="Segoe UI"/>
          <w:b/>
          <w:bCs/>
          <w:kern w:val="0"/>
          <w:bdr w:val="none" w:sz="0" w:space="0" w:color="auto" w:frame="1"/>
          <w:lang w:eastAsia="en-GB" w:bidi="bn-IN"/>
          <w14:ligatures w14:val="none"/>
        </w:rPr>
        <w:t>Parent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0x3a48ad6826174edbda893c62a02b4e7c0f5e5d3ae25361e0d7edec5e7cf89186</w:t>
      </w:r>
      <w:r w:rsidRPr="00E32AB7">
        <w:rPr>
          <w:rFonts w:ascii="Segoe UI" w:eastAsia="Times New Roman" w:hAnsi="Segoe UI" w:cs="Segoe UI"/>
          <w:kern w:val="0"/>
          <w:lang w:eastAsia="en-GB" w:bidi="bn-IN"/>
          <w14:ligatures w14:val="none"/>
        </w:rPr>
        <w:t>) demonstrate the cryptographic chaining fundamental to Ethereum's immutability guarantees, ensuring that mineral batch histories cannot be retroactively altered without detection [7].</w:t>
      </w:r>
    </w:p>
    <w:p w14:paraId="061863EE"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State Root</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0xd327524a9dd4ddc7f08ac621862019462ae1eae66afab3edadd90317f410f8c6</w:t>
      </w:r>
      <w:r w:rsidRPr="00E32AB7">
        <w:rPr>
          <w:rFonts w:ascii="Segoe UI" w:eastAsia="Times New Roman" w:hAnsi="Segoe UI" w:cs="Segoe UI"/>
          <w:kern w:val="0"/>
          <w:lang w:eastAsia="en-GB" w:bidi="bn-IN"/>
          <w14:ligatures w14:val="none"/>
        </w:rPr>
        <w:t xml:space="preserve">) represents the Merkle Patricia Trie root of all account states after processing BT-CMRS transactions, while the </w:t>
      </w:r>
      <w:r w:rsidRPr="00E32AB7">
        <w:rPr>
          <w:rFonts w:ascii="inherit" w:eastAsia="Times New Roman" w:hAnsi="inherit" w:cs="Segoe UI"/>
          <w:b/>
          <w:bCs/>
          <w:kern w:val="0"/>
          <w:bdr w:val="none" w:sz="0" w:space="0" w:color="auto" w:frame="1"/>
          <w:lang w:eastAsia="en-GB" w:bidi="bn-IN"/>
          <w14:ligatures w14:val="none"/>
        </w:rPr>
        <w:t>Withdrawals Root</w:t>
      </w:r>
      <w:r w:rsidRPr="00E32AB7">
        <w:rPr>
          <w:rFonts w:ascii="Segoe UI" w:eastAsia="Times New Roman" w:hAnsi="Segoe UI" w:cs="Segoe UI"/>
          <w:kern w:val="0"/>
          <w:lang w:eastAsia="en-GB" w:bidi="bn-IN"/>
          <w14:ligatures w14:val="none"/>
        </w:rPr>
        <w:t xml:space="preserve"> facilitates validator reward distributions in the PoS mechanism. The </w:t>
      </w:r>
      <w:r w:rsidRPr="00E32AB7">
        <w:rPr>
          <w:rFonts w:ascii="inherit" w:eastAsia="Times New Roman" w:hAnsi="inherit" w:cs="Segoe UI"/>
          <w:b/>
          <w:bCs/>
          <w:kern w:val="0"/>
          <w:bdr w:val="none" w:sz="0" w:space="0" w:color="auto" w:frame="1"/>
          <w:lang w:eastAsia="en-GB" w:bidi="bn-IN"/>
          <w14:ligatures w14:val="none"/>
        </w:rPr>
        <w:t>Block Reward</w:t>
      </w:r>
      <w:r w:rsidRPr="00E32AB7">
        <w:rPr>
          <w:rFonts w:ascii="Segoe UI" w:eastAsia="Times New Roman" w:hAnsi="Segoe UI" w:cs="Segoe UI"/>
          <w:kern w:val="0"/>
          <w:lang w:eastAsia="en-GB" w:bidi="bn-IN"/>
          <w14:ligatures w14:val="none"/>
        </w:rPr>
        <w:t xml:space="preserve"> of 0 ETH and </w:t>
      </w:r>
      <w:r w:rsidRPr="00E32AB7">
        <w:rPr>
          <w:rFonts w:ascii="inherit" w:eastAsia="Times New Roman" w:hAnsi="inherit" w:cs="Segoe UI"/>
          <w:b/>
          <w:bCs/>
          <w:kern w:val="0"/>
          <w:bdr w:val="none" w:sz="0" w:space="0" w:color="auto" w:frame="1"/>
          <w:lang w:eastAsia="en-GB" w:bidi="bn-IN"/>
          <w14:ligatures w14:val="none"/>
        </w:rPr>
        <w:t>Total Difficulty</w:t>
      </w:r>
      <w:r w:rsidRPr="00E32AB7">
        <w:rPr>
          <w:rFonts w:ascii="Segoe UI" w:eastAsia="Times New Roman" w:hAnsi="Segoe UI" w:cs="Segoe UI"/>
          <w:kern w:val="0"/>
          <w:lang w:eastAsia="en-GB" w:bidi="bn-IN"/>
          <w14:ligatures w14:val="none"/>
        </w:rPr>
        <w:t xml:space="preserve"> of 0 confirm the post-Merge PoS environment, distinct from the energy-intensive Proof-of-Work mechanisms previously utilized in blockchain systems [8].</w:t>
      </w:r>
    </w:p>
    <w:p w14:paraId="70BE4367" w14:textId="77777777"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Size</w:t>
      </w:r>
      <w:r w:rsidRPr="00E32AB7">
        <w:rPr>
          <w:rFonts w:ascii="Segoe UI" w:eastAsia="Times New Roman" w:hAnsi="Segoe UI" w:cs="Segoe UI"/>
          <w:kern w:val="0"/>
          <w:lang w:eastAsia="en-GB" w:bidi="bn-IN"/>
          <w14:ligatures w14:val="none"/>
        </w:rPr>
        <w:t xml:space="preserve"> of 1,217 bytes for the block containing ZKP transactions indicates efficient data utilization, with each ZKP proof (192 bytes) contributing minimally to blockchain bloat. This compactness is essential for long-term sustainability of mineral traceability records, potentially spanning decades of supply chain history. The </w:t>
      </w:r>
      <w:r w:rsidRPr="00E32AB7">
        <w:rPr>
          <w:rFonts w:ascii="inherit" w:eastAsia="Times New Roman" w:hAnsi="inherit" w:cs="Segoe UI"/>
          <w:b/>
          <w:bCs/>
          <w:kern w:val="0"/>
          <w:bdr w:val="none" w:sz="0" w:space="0" w:color="auto" w:frame="1"/>
          <w:lang w:eastAsia="en-GB" w:bidi="bn-IN"/>
          <w14:ligatures w14:val="none"/>
        </w:rPr>
        <w:t>Gas Used</w:t>
      </w:r>
      <w:r w:rsidRPr="00E32AB7">
        <w:rPr>
          <w:rFonts w:ascii="Segoe UI" w:eastAsia="Times New Roman" w:hAnsi="Segoe UI" w:cs="Segoe UI"/>
          <w:kern w:val="0"/>
          <w:lang w:eastAsia="en-GB" w:bidi="bn-IN"/>
          <w14:ligatures w14:val="none"/>
        </w:rPr>
        <w:t xml:space="preserve"> of 293,560 (0.48% of the 30M limit) leaves substantial capacity for batch processing, supporting theoretical throughput of approximately 50-60 ZKP verifications per block under optimal conditions. The </w:t>
      </w:r>
      <w:r w:rsidRPr="00E32AB7">
        <w:rPr>
          <w:rFonts w:ascii="inherit" w:eastAsia="Times New Roman" w:hAnsi="inherit" w:cs="Segoe UI"/>
          <w:b/>
          <w:bCs/>
          <w:kern w:val="0"/>
          <w:bdr w:val="none" w:sz="0" w:space="0" w:color="auto" w:frame="1"/>
          <w:lang w:eastAsia="en-GB" w:bidi="bn-IN"/>
          <w14:ligatures w14:val="none"/>
        </w:rPr>
        <w:t>Burnt Fees</w:t>
      </w:r>
      <w:r w:rsidRPr="00E32AB7">
        <w:rPr>
          <w:rFonts w:ascii="Segoe UI" w:eastAsia="Times New Roman" w:hAnsi="Segoe UI" w:cs="Segoe UI"/>
          <w:kern w:val="0"/>
          <w:lang w:eastAsia="en-GB" w:bidi="bn-IN"/>
          <w14:ligatures w14:val="none"/>
        </w:rPr>
        <w:t xml:space="preserve"> mechanism, whereby 0.00000005299462544 ETH is permanently removed from circulation, demonstrates Ethereum's deflationary economics that contribute to network security and long-term value stability [6].</w:t>
      </w:r>
    </w:p>
    <w:p w14:paraId="50397B73"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4E2CAB1F" w14:textId="77777777" w:rsidR="00E32AB7" w:rsidRDefault="00E32AB7" w:rsidP="00E32AB7">
      <w:pPr>
        <w:shd w:val="clear" w:color="auto" w:fill="FFFFFF"/>
        <w:spacing w:after="0" w:line="390" w:lineRule="atLeast"/>
        <w:textAlignment w:val="baseline"/>
        <w:rPr>
          <w:rFonts w:ascii="inherit" w:eastAsia="Times New Roman" w:hAnsi="inherit" w:cs="Segoe UI"/>
          <w:b/>
          <w:bCs/>
          <w:kern w:val="0"/>
          <w:bdr w:val="none" w:sz="0" w:space="0" w:color="auto" w:frame="1"/>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Table 5. Block-Level Metrics for ZKP Transactions in BT-CMRS</w:t>
      </w:r>
    </w:p>
    <w:p w14:paraId="2187ABE3" w14:textId="77777777" w:rsidR="00E32AB7" w:rsidRDefault="00E32AB7" w:rsidP="00E32AB7">
      <w:pPr>
        <w:shd w:val="clear" w:color="auto" w:fill="FFFFFF"/>
        <w:spacing w:after="0" w:line="390" w:lineRule="atLeast"/>
        <w:textAlignment w:val="baseline"/>
        <w:rPr>
          <w:rFonts w:ascii="inherit" w:eastAsia="Times New Roman" w:hAnsi="inherit" w:cs="Segoe UI"/>
          <w:b/>
          <w:bCs/>
          <w:kern w:val="0"/>
          <w:bdr w:val="none" w:sz="0" w:space="0" w:color="auto" w:frame="1"/>
          <w:lang w:eastAsia="en-GB" w:bidi="bn-IN"/>
          <w14:ligatures w14:val="none"/>
        </w:rPr>
      </w:pPr>
    </w:p>
    <w:p w14:paraId="7E9E701F" w14:textId="2E686EB5"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noProof/>
          <w:kern w:val="0"/>
          <w:lang w:eastAsia="en-GB" w:bidi="bn-IN"/>
          <w14:ligatures w14:val="none"/>
        </w:rPr>
        <w:lastRenderedPageBreak/>
        <w:drawing>
          <wp:inline distT="0" distB="0" distL="0" distR="0" wp14:anchorId="776BDD4F" wp14:editId="28B8687F">
            <wp:extent cx="5731510" cy="2223135"/>
            <wp:effectExtent l="0" t="0" r="0" b="0"/>
            <wp:docPr id="229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2234" name=""/>
                    <pic:cNvPicPr/>
                  </pic:nvPicPr>
                  <pic:blipFill>
                    <a:blip r:embed="rId8"/>
                    <a:stretch>
                      <a:fillRect/>
                    </a:stretch>
                  </pic:blipFill>
                  <pic:spPr>
                    <a:xfrm>
                      <a:off x="0" y="0"/>
                      <a:ext cx="5731510" cy="2223135"/>
                    </a:xfrm>
                    <a:prstGeom prst="rect">
                      <a:avLst/>
                    </a:prstGeom>
                  </pic:spPr>
                </pic:pic>
              </a:graphicData>
            </a:graphic>
          </wp:inline>
        </w:drawing>
      </w:r>
    </w:p>
    <w:p w14:paraId="651DE03E" w14:textId="77777777"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22D6187C" w14:textId="77777777" w:rsidR="00E32AB7" w:rsidRPr="00E32AB7" w:rsidRDefault="00E32AB7" w:rsidP="00E32AB7">
      <w:pPr>
        <w:shd w:val="clear" w:color="auto" w:fill="FFFFFF"/>
        <w:spacing w:after="0" w:line="390" w:lineRule="atLeast"/>
        <w:textAlignment w:val="baseline"/>
        <w:outlineLvl w:val="2"/>
        <w:rPr>
          <w:rFonts w:ascii="Segoe UI" w:eastAsia="Times New Roman" w:hAnsi="Segoe UI" w:cs="Segoe UI"/>
          <w:b/>
          <w:bCs/>
          <w:kern w:val="0"/>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4.7 Consensus Stability and Network Security</w:t>
      </w:r>
    </w:p>
    <w:p w14:paraId="0A7615E1"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Table 6 analyzes the consensus mechanism performance and network interaction patterns specific to BT-CMRS operations. The consistent </w:t>
      </w:r>
      <w:r w:rsidRPr="00E32AB7">
        <w:rPr>
          <w:rFonts w:ascii="inherit" w:eastAsia="Times New Roman" w:hAnsi="inherit" w:cs="Segoe UI"/>
          <w:b/>
          <w:bCs/>
          <w:kern w:val="0"/>
          <w:bdr w:val="none" w:sz="0" w:space="0" w:color="auto" w:frame="1"/>
          <w:lang w:eastAsia="en-GB" w:bidi="bn-IN"/>
          <w14:ligatures w14:val="none"/>
        </w:rPr>
        <w:t>Slot</w:t>
      </w:r>
      <w:r w:rsidRPr="00E32AB7">
        <w:rPr>
          <w:rFonts w:ascii="Segoe UI" w:eastAsia="Times New Roman" w:hAnsi="Segoe UI" w:cs="Segoe UI"/>
          <w:kern w:val="0"/>
          <w:lang w:eastAsia="en-GB" w:bidi="bn-IN"/>
          <w14:ligatures w14:val="none"/>
        </w:rPr>
        <w:t xml:space="preserve"> number (66) and </w:t>
      </w:r>
      <w:r w:rsidRPr="00E32AB7">
        <w:rPr>
          <w:rFonts w:ascii="inherit" w:eastAsia="Times New Roman" w:hAnsi="inherit" w:cs="Segoe UI"/>
          <w:b/>
          <w:bCs/>
          <w:kern w:val="0"/>
          <w:bdr w:val="none" w:sz="0" w:space="0" w:color="auto" w:frame="1"/>
          <w:lang w:eastAsia="en-GB" w:bidi="bn-IN"/>
          <w14:ligatures w14:val="none"/>
        </w:rPr>
        <w:t>Epoch</w:t>
      </w:r>
      <w:r w:rsidRPr="00E32AB7">
        <w:rPr>
          <w:rFonts w:ascii="Segoe UI" w:eastAsia="Times New Roman" w:hAnsi="Segoe UI" w:cs="Segoe UI"/>
          <w:kern w:val="0"/>
          <w:lang w:eastAsia="en-GB" w:bidi="bn-IN"/>
          <w14:ligatures w14:val="none"/>
        </w:rPr>
        <w:t xml:space="preserve"> (2) across multiple measurements indicate stable block production within the testing timeframe. The </w:t>
      </w:r>
      <w:r w:rsidRPr="00E32AB7">
        <w:rPr>
          <w:rFonts w:ascii="inherit" w:eastAsia="Times New Roman" w:hAnsi="inherit" w:cs="Segoe UI"/>
          <w:b/>
          <w:bCs/>
          <w:kern w:val="0"/>
          <w:bdr w:val="none" w:sz="0" w:space="0" w:color="auto" w:frame="1"/>
          <w:lang w:eastAsia="en-GB" w:bidi="bn-IN"/>
          <w14:ligatures w14:val="none"/>
        </w:rPr>
        <w:t>Proposer Index</w:t>
      </w:r>
      <w:r w:rsidRPr="00E32AB7">
        <w:rPr>
          <w:rFonts w:ascii="Segoe UI" w:eastAsia="Times New Roman" w:hAnsi="Segoe UI" w:cs="Segoe UI"/>
          <w:kern w:val="0"/>
          <w:lang w:eastAsia="en-GB" w:bidi="bn-IN"/>
          <w14:ligatures w14:val="none"/>
        </w:rPr>
        <w:t xml:space="preserve"> of 309,854 represents the validator selected to propose blocks containing BT-CMRS transactions, while the </w:t>
      </w:r>
      <w:r w:rsidRPr="00E32AB7">
        <w:rPr>
          <w:rFonts w:ascii="inherit" w:eastAsia="Times New Roman" w:hAnsi="inherit" w:cs="Segoe UI"/>
          <w:b/>
          <w:bCs/>
          <w:kern w:val="0"/>
          <w:bdr w:val="none" w:sz="0" w:space="0" w:color="auto" w:frame="1"/>
          <w:lang w:eastAsia="en-GB" w:bidi="bn-IN"/>
          <w14:ligatures w14:val="none"/>
        </w:rPr>
        <w:t>Slot Root Hash</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0xe425bd5b42de9b9cb2fa4a5e785205ce0c2e5239688f79870fa5d587ac05cfdd</w:t>
      </w:r>
      <w:r w:rsidRPr="00E32AB7">
        <w:rPr>
          <w:rFonts w:ascii="Segoe UI" w:eastAsia="Times New Roman" w:hAnsi="Segoe UI" w:cs="Segoe UI"/>
          <w:kern w:val="0"/>
          <w:lang w:eastAsia="en-GB" w:bidi="bn-IN"/>
          <w14:ligatures w14:val="none"/>
        </w:rPr>
        <w:t>) provides cryptographic verification of the beacon chain state.</w:t>
      </w:r>
    </w:p>
    <w:p w14:paraId="6F32217E"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w:t>
      </w:r>
      <w:r w:rsidRPr="00E32AB7">
        <w:rPr>
          <w:rFonts w:ascii="inherit" w:eastAsia="Times New Roman" w:hAnsi="inherit" w:cs="Segoe UI"/>
          <w:b/>
          <w:bCs/>
          <w:kern w:val="0"/>
          <w:bdr w:val="none" w:sz="0" w:space="0" w:color="auto" w:frame="1"/>
          <w:lang w:eastAsia="en-GB" w:bidi="bn-IN"/>
          <w14:ligatures w14:val="none"/>
        </w:rPr>
        <w:t>Beacon Chain Deposit Count</w:t>
      </w:r>
      <w:r w:rsidRPr="00E32AB7">
        <w:rPr>
          <w:rFonts w:ascii="Segoe UI" w:eastAsia="Times New Roman" w:hAnsi="Segoe UI" w:cs="Segoe UI"/>
          <w:kern w:val="0"/>
          <w:lang w:eastAsia="en-GB" w:bidi="bn-IN"/>
          <w14:ligatures w14:val="none"/>
        </w:rPr>
        <w:t xml:space="preserve"> of 0 confirms the local testing environment, though production deployments would interface with the live beacon chain containing over 800,000 active validators [5]. The </w:t>
      </w:r>
      <w:r w:rsidRPr="00E32AB7">
        <w:rPr>
          <w:rFonts w:ascii="inherit" w:eastAsia="Times New Roman" w:hAnsi="inherit" w:cs="Segoe UI"/>
          <w:b/>
          <w:bCs/>
          <w:kern w:val="0"/>
          <w:bdr w:val="none" w:sz="0" w:space="0" w:color="auto" w:frame="1"/>
          <w:lang w:eastAsia="en-GB" w:bidi="bn-IN"/>
          <w14:ligatures w14:val="none"/>
        </w:rPr>
        <w:t>Block Randomness</w:t>
      </w:r>
      <w:r w:rsidRPr="00E32AB7">
        <w:rPr>
          <w:rFonts w:ascii="Segoe UI" w:eastAsia="Times New Roman" w:hAnsi="Segoe UI" w:cs="Segoe UI"/>
          <w:kern w:val="0"/>
          <w:lang w:eastAsia="en-GB" w:bidi="bn-IN"/>
          <w14:ligatures w14:val="none"/>
        </w:rPr>
        <w:t xml:space="preserve"> (</w:t>
      </w:r>
      <w:r w:rsidRPr="00E32AB7">
        <w:rPr>
          <w:rFonts w:ascii="Courier New" w:eastAsia="Times New Roman" w:hAnsi="Courier New" w:cs="Courier New"/>
          <w:kern w:val="0"/>
          <w:sz w:val="20"/>
          <w:szCs w:val="20"/>
          <w:bdr w:val="none" w:sz="0" w:space="0" w:color="auto" w:frame="1"/>
          <w:lang w:eastAsia="en-GB" w:bidi="bn-IN"/>
          <w14:ligatures w14:val="none"/>
        </w:rPr>
        <w:t>0x9c596268215a2c9e18261e6d10fa6a70c30114cda7fcb17d1e8862a82a84ba07</w:t>
      </w:r>
      <w:r w:rsidRPr="00E32AB7">
        <w:rPr>
          <w:rFonts w:ascii="Segoe UI" w:eastAsia="Times New Roman" w:hAnsi="Segoe UI" w:cs="Segoe UI"/>
          <w:kern w:val="0"/>
          <w:lang w:eastAsia="en-GB" w:bidi="bn-IN"/>
          <w14:ligatures w14:val="none"/>
        </w:rPr>
        <w:t>) ensures unpredictability in validator selection, preventing malicious actors from targeting specific miners or smelters for transaction censorship. This randomness is derived from the RANDAO mechanism, which accumulates entropy from validator commitments across epochs, ensuring that no participant can predict or influence block proposer selection [5].</w:t>
      </w:r>
    </w:p>
    <w:p w14:paraId="713BC6EC" w14:textId="77777777" w:rsidR="00E32AB7" w:rsidRDefault="00E32AB7" w:rsidP="00E32AB7">
      <w:pPr>
        <w:shd w:val="clear" w:color="auto" w:fill="FFFFFF"/>
        <w:spacing w:after="0" w:line="390" w:lineRule="atLeast"/>
        <w:textAlignment w:val="baseline"/>
        <w:rPr>
          <w:rFonts w:ascii="inherit" w:eastAsia="Times New Roman" w:hAnsi="inherit" w:cs="Segoe UI"/>
          <w:b/>
          <w:bCs/>
          <w:kern w:val="0"/>
          <w:bdr w:val="none" w:sz="0" w:space="0" w:color="auto" w:frame="1"/>
          <w:lang w:eastAsia="en-GB" w:bidi="bn-IN"/>
          <w14:ligatures w14:val="none"/>
        </w:rPr>
      </w:pPr>
      <w:r w:rsidRPr="00E32AB7">
        <w:rPr>
          <w:rFonts w:ascii="inherit" w:eastAsia="Times New Roman" w:hAnsi="inherit" w:cs="Segoe UI"/>
          <w:b/>
          <w:bCs/>
          <w:kern w:val="0"/>
          <w:bdr w:val="none" w:sz="0" w:space="0" w:color="auto" w:frame="1"/>
          <w:lang w:eastAsia="en-GB" w:bidi="bn-IN"/>
          <w14:ligatures w14:val="none"/>
        </w:rPr>
        <w:t>Table 6. Consensus Mechanism and Network Interaction Metrics in BT-CMRS</w:t>
      </w:r>
    </w:p>
    <w:p w14:paraId="2385A708" w14:textId="5FCEF910"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noProof/>
          <w:kern w:val="0"/>
          <w:lang w:eastAsia="en-GB" w:bidi="bn-IN"/>
          <w14:ligatures w14:val="none"/>
        </w:rPr>
        <w:lastRenderedPageBreak/>
        <w:drawing>
          <wp:inline distT="0" distB="0" distL="0" distR="0" wp14:anchorId="2235BB19" wp14:editId="0010A9BC">
            <wp:extent cx="5731510" cy="2293620"/>
            <wp:effectExtent l="0" t="0" r="0" b="5080"/>
            <wp:docPr id="1084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657" name=""/>
                    <pic:cNvPicPr/>
                  </pic:nvPicPr>
                  <pic:blipFill>
                    <a:blip r:embed="rId9"/>
                    <a:stretch>
                      <a:fillRect/>
                    </a:stretch>
                  </pic:blipFill>
                  <pic:spPr>
                    <a:xfrm>
                      <a:off x="0" y="0"/>
                      <a:ext cx="5731510" cy="2293620"/>
                    </a:xfrm>
                    <a:prstGeom prst="rect">
                      <a:avLst/>
                    </a:prstGeom>
                  </pic:spPr>
                </pic:pic>
              </a:graphicData>
            </a:graphic>
          </wp:inline>
        </w:drawing>
      </w:r>
    </w:p>
    <w:p w14:paraId="676B6315" w14:textId="77777777"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2DE74971" w14:textId="2241BA15"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noProof/>
          <w:kern w:val="0"/>
          <w:lang w:eastAsia="en-GB" w:bidi="bn-IN"/>
          <w14:ligatures w14:val="none"/>
        </w:rPr>
        <w:drawing>
          <wp:inline distT="0" distB="0" distL="0" distR="0" wp14:anchorId="4E8C81E2" wp14:editId="4312CE73">
            <wp:extent cx="5731510" cy="1990090"/>
            <wp:effectExtent l="0" t="0" r="0" b="3810"/>
            <wp:docPr id="75185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56018" name=""/>
                    <pic:cNvPicPr/>
                  </pic:nvPicPr>
                  <pic:blipFill>
                    <a:blip r:embed="rId10"/>
                    <a:stretch>
                      <a:fillRect/>
                    </a:stretch>
                  </pic:blipFill>
                  <pic:spPr>
                    <a:xfrm>
                      <a:off x="0" y="0"/>
                      <a:ext cx="5731510" cy="1990090"/>
                    </a:xfrm>
                    <a:prstGeom prst="rect">
                      <a:avLst/>
                    </a:prstGeom>
                  </pic:spPr>
                </pic:pic>
              </a:graphicData>
            </a:graphic>
          </wp:inline>
        </w:drawing>
      </w:r>
    </w:p>
    <w:p w14:paraId="7CAC1DF1" w14:textId="77777777" w:rsid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495B88AA"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The implementation results demonstrate that BT-CMRS achieves efficient privacy-preserving traceability within economically viable parameters. The ZKP verification cost of </w:t>
      </w:r>
      <w:r w:rsidRPr="00E32AB7">
        <w:rPr>
          <w:rFonts w:ascii="inherit" w:eastAsia="Times New Roman" w:hAnsi="inherit" w:cs="Segoe UI"/>
          <w:b/>
          <w:bCs/>
          <w:kern w:val="0"/>
          <w:bdr w:val="none" w:sz="0" w:space="0" w:color="auto" w:frame="1"/>
          <w:lang w:eastAsia="en-GB" w:bidi="bn-IN"/>
          <w14:ligatures w14:val="none"/>
        </w:rPr>
        <w:t>293,560 gas</w:t>
      </w:r>
      <w:r w:rsidRPr="00E32AB7">
        <w:rPr>
          <w:rFonts w:ascii="Segoe UI" w:eastAsia="Times New Roman" w:hAnsi="Segoe UI" w:cs="Segoe UI"/>
          <w:kern w:val="0"/>
          <w:lang w:eastAsia="en-GB" w:bidi="bn-IN"/>
          <w14:ligatures w14:val="none"/>
        </w:rPr>
        <w:t xml:space="preserve"> represents approximately </w:t>
      </w:r>
      <w:r w:rsidRPr="00E32AB7">
        <w:rPr>
          <w:rFonts w:ascii="inherit" w:eastAsia="Times New Roman" w:hAnsi="inherit" w:cs="Segoe UI"/>
          <w:b/>
          <w:bCs/>
          <w:kern w:val="0"/>
          <w:bdr w:val="none" w:sz="0" w:space="0" w:color="auto" w:frame="1"/>
          <w:lang w:eastAsia="en-GB" w:bidi="bn-IN"/>
          <w14:ligatures w14:val="none"/>
        </w:rPr>
        <w:t>$0.20</w:t>
      </w:r>
      <w:r w:rsidRPr="00E32AB7">
        <w:rPr>
          <w:rFonts w:ascii="Segoe UI" w:eastAsia="Times New Roman" w:hAnsi="Segoe UI" w:cs="Segoe UI"/>
          <w:kern w:val="0"/>
          <w:lang w:eastAsia="en-GB" w:bidi="bn-IN"/>
          <w14:ligatures w14:val="none"/>
        </w:rPr>
        <w:t xml:space="preserve"> per verification at moderate gas prices (20 Gwei), significantly less than the administrative costs of traditional paper-based traceability systems, which can exceed </w:t>
      </w:r>
      <w:r w:rsidRPr="00E32AB7">
        <w:rPr>
          <w:rFonts w:ascii="inherit" w:eastAsia="Times New Roman" w:hAnsi="inherit" w:cs="Segoe UI"/>
          <w:b/>
          <w:bCs/>
          <w:kern w:val="0"/>
          <w:bdr w:val="none" w:sz="0" w:space="0" w:color="auto" w:frame="1"/>
          <w:lang w:eastAsia="en-GB" w:bidi="bn-IN"/>
          <w14:ligatures w14:val="none"/>
        </w:rPr>
        <w:t>$50 per batch</w:t>
      </w:r>
      <w:r w:rsidRPr="00E32AB7">
        <w:rPr>
          <w:rFonts w:ascii="Segoe UI" w:eastAsia="Times New Roman" w:hAnsi="Segoe UI" w:cs="Segoe UI"/>
          <w:kern w:val="0"/>
          <w:lang w:eastAsia="en-GB" w:bidi="bn-IN"/>
          <w14:ligatures w14:val="none"/>
        </w:rPr>
        <w:t xml:space="preserve"> due to manual documentation and third-party auditing fees [4]. This represents a </w:t>
      </w:r>
      <w:r w:rsidRPr="00E32AB7">
        <w:rPr>
          <w:rFonts w:ascii="inherit" w:eastAsia="Times New Roman" w:hAnsi="inherit" w:cs="Segoe UI"/>
          <w:b/>
          <w:bCs/>
          <w:kern w:val="0"/>
          <w:bdr w:val="none" w:sz="0" w:space="0" w:color="auto" w:frame="1"/>
          <w:lang w:eastAsia="en-GB" w:bidi="bn-IN"/>
          <w14:ligatures w14:val="none"/>
        </w:rPr>
        <w:t>99.6% cost reduction</w:t>
      </w:r>
      <w:r w:rsidRPr="00E32AB7">
        <w:rPr>
          <w:rFonts w:ascii="Segoe UI" w:eastAsia="Times New Roman" w:hAnsi="Segoe UI" w:cs="Segoe UI"/>
          <w:kern w:val="0"/>
          <w:lang w:eastAsia="en-GB" w:bidi="bn-IN"/>
          <w14:ligatures w14:val="none"/>
        </w:rPr>
        <w:t xml:space="preserve"> compared to traditional iTSCi processes.</w:t>
      </w:r>
    </w:p>
    <w:p w14:paraId="5796B920"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The gas consumption breakdown reveals that deployment costs (2,522,612 gas) dominate initial setup, while operational costs (293,560 gas per verification) remain manageable for high-frequency transactions. This cost structure incentivizes long-term system adoption, as the break-even point occurs rapidly for mining cooperatives processing multiple batches monthly. For example, a cooperative processing 50 batches monthly would incur approximately $10 in ZKP verification costs versus $2,500 in traditional iTSCi administrative fees—a payback period of less than one month for the initial deployment costs.</w:t>
      </w:r>
    </w:p>
    <w:p w14:paraId="4C48D285"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lastRenderedPageBreak/>
        <w:t>The block utilization efficiency (0.48%-1.74% of gas limit) indicates substantial scalability headroom, supporting theoretical throughput of 100+ transactions per block if demand increases. However, the ZKP generation time (approximately 250-300ms off-chain) represents the primary latency bottleneck rather than on-chain verification, suggesting that optimization efforts should focus on Circom circuit efficiency and hardware acceleration for miners [3]. The use of floating-point arithmetic in the region-membership circuit, while providing necessary precision for geographic coordinates, adds computational overhead compared to integer-based circuits.</w:t>
      </w:r>
    </w:p>
    <w:p w14:paraId="20C1269D"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The consistency of gas consumption across test rounds (standard deviation &lt;2%) demonstrates predictable operational costs, a critical factor for artisanal mining cooperatives operating on tight margins. This predictability contrasts favorably with volatile cryptocurrency markets, as the ETH-denominated fees remain stable relative to fiat-equivalent operational savings. Furthermore, the privacy guarantees provided by the ZKP mechanism—ensuring that exact mine coordinates never appear on-chain—provide security value that cannot be quantified purely in gas costs, protecting miners from potential retaliation or targeted theft in conflict-affected regions [9].</w:t>
      </w:r>
    </w:p>
    <w:p w14:paraId="2CF316E6"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Overall, the implementation and experimental evaluation confirm that the BT-CMRS framework achieves efficient smart contract deployment, low transaction costs, and scalable performance while integrating privacy-preserving ZKP mechanisms. The results demonstrate that the system effectively balances transparency and confidentiality, making it suitable for real-world applications in conflict mineral traceability and ethical sourcing.</w:t>
      </w:r>
    </w:p>
    <w:p w14:paraId="04C2426F" w14:textId="77777777" w:rsidR="00E32AB7" w:rsidRPr="00E32AB7" w:rsidRDefault="009C17A9" w:rsidP="00E32AB7">
      <w:pPr>
        <w:spacing w:after="240" w:line="240" w:lineRule="auto"/>
        <w:rPr>
          <w:rFonts w:ascii="Segoe UI" w:eastAsia="Times New Roman" w:hAnsi="Segoe UI" w:cs="Segoe UI"/>
          <w:spacing w:val="8"/>
          <w:kern w:val="0"/>
          <w:sz w:val="21"/>
          <w:szCs w:val="21"/>
          <w:lang w:eastAsia="en-GB" w:bidi="bn-IN"/>
          <w14:ligatures w14:val="none"/>
        </w:rPr>
      </w:pPr>
      <w:r>
        <w:pict w14:anchorId="11DC437D">
          <v:rect id="Horizontal Lin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7B5DBD" w14:textId="77777777" w:rsidR="00E32AB7" w:rsidRPr="00E32AB7" w:rsidRDefault="00E32AB7" w:rsidP="00E32AB7">
      <w:pPr>
        <w:shd w:val="clear" w:color="auto" w:fill="FFFFFF"/>
        <w:spacing w:after="0" w:line="420" w:lineRule="atLeast"/>
        <w:textAlignment w:val="baseline"/>
        <w:outlineLvl w:val="1"/>
        <w:rPr>
          <w:rFonts w:ascii="Segoe UI" w:eastAsia="Times New Roman" w:hAnsi="Segoe UI" w:cs="Segoe UI"/>
          <w:b/>
          <w:bCs/>
          <w:kern w:val="0"/>
          <w:sz w:val="27"/>
          <w:szCs w:val="27"/>
          <w:lang w:eastAsia="en-GB" w:bidi="bn-IN"/>
          <w14:ligatures w14:val="none"/>
        </w:rPr>
      </w:pPr>
      <w:r w:rsidRPr="00E32AB7">
        <w:rPr>
          <w:rFonts w:ascii="inherit" w:eastAsia="Times New Roman" w:hAnsi="inherit" w:cs="Segoe UI"/>
          <w:b/>
          <w:bCs/>
          <w:kern w:val="0"/>
          <w:sz w:val="27"/>
          <w:szCs w:val="27"/>
          <w:bdr w:val="none" w:sz="0" w:space="0" w:color="auto" w:frame="1"/>
          <w:lang w:eastAsia="en-GB" w:bidi="bn-IN"/>
          <w14:ligatures w14:val="none"/>
        </w:rPr>
        <w:t>References for Section 4</w:t>
      </w:r>
    </w:p>
    <w:p w14:paraId="36C7E517"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[1] N. Schneider, "Hardhat: Ethereum development environment," </w:t>
      </w:r>
      <w:r w:rsidRPr="00E32AB7">
        <w:rPr>
          <w:rFonts w:ascii="inherit" w:eastAsia="Times New Roman" w:hAnsi="inherit" w:cs="Segoe UI"/>
          <w:i/>
          <w:iCs/>
          <w:kern w:val="0"/>
          <w:bdr w:val="none" w:sz="0" w:space="0" w:color="auto" w:frame="1"/>
          <w:lang w:eastAsia="en-GB" w:bidi="bn-IN"/>
          <w14:ligatures w14:val="none"/>
        </w:rPr>
        <w:t>Hardhat Documentation</w:t>
      </w:r>
      <w:r w:rsidRPr="00E32AB7">
        <w:rPr>
          <w:rFonts w:ascii="Segoe UI" w:eastAsia="Times New Roman" w:hAnsi="Segoe UI" w:cs="Segoe UI"/>
          <w:kern w:val="0"/>
          <w:lang w:eastAsia="en-GB" w:bidi="bn-IN"/>
          <w14:ligatures w14:val="none"/>
        </w:rPr>
        <w:t>, 2024.</w:t>
      </w:r>
    </w:p>
    <w:p w14:paraId="2DAC7D7F"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[2] J. Baylina, "Circom: Circuit compiler for zero-knowledge proofs," </w:t>
      </w:r>
      <w:r w:rsidRPr="00E32AB7">
        <w:rPr>
          <w:rFonts w:ascii="inherit" w:eastAsia="Times New Roman" w:hAnsi="inherit" w:cs="Segoe UI"/>
          <w:i/>
          <w:iCs/>
          <w:kern w:val="0"/>
          <w:bdr w:val="none" w:sz="0" w:space="0" w:color="auto" w:frame="1"/>
          <w:lang w:eastAsia="en-GB" w:bidi="bn-IN"/>
          <w14:ligatures w14:val="none"/>
        </w:rPr>
        <w:t>Circom Documentation</w:t>
      </w:r>
      <w:r w:rsidRPr="00E32AB7">
        <w:rPr>
          <w:rFonts w:ascii="Segoe UI" w:eastAsia="Times New Roman" w:hAnsi="Segoe UI" w:cs="Segoe UI"/>
          <w:kern w:val="0"/>
          <w:lang w:eastAsia="en-GB" w:bidi="bn-IN"/>
          <w14:ligatures w14:val="none"/>
        </w:rPr>
        <w:t>, 2023.</w:t>
      </w:r>
    </w:p>
    <w:p w14:paraId="4D573851"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[3] J. Ernstberger et al., "Zero-Knowledge Location Privacy via Accurate Floating-Point SNARKs," </w:t>
      </w:r>
      <w:r w:rsidRPr="00E32AB7">
        <w:rPr>
          <w:rFonts w:ascii="inherit" w:eastAsia="Times New Roman" w:hAnsi="inherit" w:cs="Segoe UI"/>
          <w:i/>
          <w:iCs/>
          <w:kern w:val="0"/>
          <w:bdr w:val="none" w:sz="0" w:space="0" w:color="auto" w:frame="1"/>
          <w:lang w:eastAsia="en-GB" w:bidi="bn-IN"/>
          <w14:ligatures w14:val="none"/>
        </w:rPr>
        <w:t>Cryptology ePrint Archive</w:t>
      </w:r>
      <w:r w:rsidRPr="00E32AB7">
        <w:rPr>
          <w:rFonts w:ascii="Segoe UI" w:eastAsia="Times New Roman" w:hAnsi="Segoe UI" w:cs="Segoe UI"/>
          <w:kern w:val="0"/>
          <w:lang w:eastAsia="en-GB" w:bidi="bn-IN"/>
          <w14:ligatures w14:val="none"/>
        </w:rPr>
        <w:t>, Paper 2024/1842, 2024.</w:t>
      </w:r>
    </w:p>
    <w:p w14:paraId="26186AB2"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[4] iTSCi, "ITSCI Alignment Assessment Report," </w:t>
      </w:r>
      <w:r w:rsidRPr="00E32AB7">
        <w:rPr>
          <w:rFonts w:ascii="inherit" w:eastAsia="Times New Roman" w:hAnsi="inherit" w:cs="Segoe UI"/>
          <w:i/>
          <w:iCs/>
          <w:kern w:val="0"/>
          <w:bdr w:val="none" w:sz="0" w:space="0" w:color="auto" w:frame="1"/>
          <w:lang w:eastAsia="en-GB" w:bidi="bn-IN"/>
          <w14:ligatures w14:val="none"/>
        </w:rPr>
        <w:t>Internal Review</w:t>
      </w:r>
      <w:r w:rsidRPr="00E32AB7">
        <w:rPr>
          <w:rFonts w:ascii="Segoe UI" w:eastAsia="Times New Roman" w:hAnsi="Segoe UI" w:cs="Segoe UI"/>
          <w:kern w:val="0"/>
          <w:lang w:eastAsia="en-GB" w:bidi="bn-IN"/>
          <w14:ligatures w14:val="none"/>
        </w:rPr>
        <w:t>, 2024.</w:t>
      </w:r>
    </w:p>
    <w:p w14:paraId="11C1FE64"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[5] B. Edgington, "Upgrading Ethereum: A technical handbook on the Ethereum consensus layer," </w:t>
      </w:r>
      <w:r w:rsidRPr="00E32AB7">
        <w:rPr>
          <w:rFonts w:ascii="inherit" w:eastAsia="Times New Roman" w:hAnsi="inherit" w:cs="Segoe UI"/>
          <w:i/>
          <w:iCs/>
          <w:kern w:val="0"/>
          <w:bdr w:val="none" w:sz="0" w:space="0" w:color="auto" w:frame="1"/>
          <w:lang w:eastAsia="en-GB" w:bidi="bn-IN"/>
          <w14:ligatures w14:val="none"/>
        </w:rPr>
        <w:t>Eth2 Book</w:t>
      </w:r>
      <w:r w:rsidRPr="00E32AB7">
        <w:rPr>
          <w:rFonts w:ascii="Segoe UI" w:eastAsia="Times New Roman" w:hAnsi="Segoe UI" w:cs="Segoe UI"/>
          <w:kern w:val="0"/>
          <w:lang w:eastAsia="en-GB" w:bidi="bn-IN"/>
          <w14:ligatures w14:val="none"/>
        </w:rPr>
        <w:t>, 2024.</w:t>
      </w:r>
    </w:p>
    <w:p w14:paraId="5A48FFFE"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lastRenderedPageBreak/>
        <w:t xml:space="preserve">[6] V. Buterin, "EIP-1559: Fee market change for ETH 1.0 chain," </w:t>
      </w:r>
      <w:r w:rsidRPr="00E32AB7">
        <w:rPr>
          <w:rFonts w:ascii="inherit" w:eastAsia="Times New Roman" w:hAnsi="inherit" w:cs="Segoe UI"/>
          <w:i/>
          <w:iCs/>
          <w:kern w:val="0"/>
          <w:bdr w:val="none" w:sz="0" w:space="0" w:color="auto" w:frame="1"/>
          <w:lang w:eastAsia="en-GB" w:bidi="bn-IN"/>
          <w14:ligatures w14:val="none"/>
        </w:rPr>
        <w:t>Ethereum Improvement Proposals</w:t>
      </w:r>
      <w:r w:rsidRPr="00E32AB7">
        <w:rPr>
          <w:rFonts w:ascii="Segoe UI" w:eastAsia="Times New Roman" w:hAnsi="Segoe UI" w:cs="Segoe UI"/>
          <w:kern w:val="0"/>
          <w:lang w:eastAsia="en-GB" w:bidi="bn-IN"/>
          <w14:ligatures w14:val="none"/>
        </w:rPr>
        <w:t>, 2019.</w:t>
      </w:r>
    </w:p>
    <w:p w14:paraId="3D919FEC"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[7] G. Wood, "Ethereum: A secure decentralised generalised transaction ledger," </w:t>
      </w:r>
      <w:r w:rsidRPr="00E32AB7">
        <w:rPr>
          <w:rFonts w:ascii="inherit" w:eastAsia="Times New Roman" w:hAnsi="inherit" w:cs="Segoe UI"/>
          <w:i/>
          <w:iCs/>
          <w:kern w:val="0"/>
          <w:bdr w:val="none" w:sz="0" w:space="0" w:color="auto" w:frame="1"/>
          <w:lang w:eastAsia="en-GB" w:bidi="bn-IN"/>
          <w14:ligatures w14:val="none"/>
        </w:rPr>
        <w:t>Ethereum Yellow Paper</w:t>
      </w:r>
      <w:r w:rsidRPr="00E32AB7">
        <w:rPr>
          <w:rFonts w:ascii="Segoe UI" w:eastAsia="Times New Roman" w:hAnsi="Segoe UI" w:cs="Segoe UI"/>
          <w:kern w:val="0"/>
          <w:lang w:eastAsia="en-GB" w:bidi="bn-IN"/>
          <w14:ligatures w14:val="none"/>
        </w:rPr>
        <w:t>, 2024.</w:t>
      </w:r>
    </w:p>
    <w:p w14:paraId="16B0E2C0"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[8] Ethereum Foundation, "The Merge: Ethereum's transition to proof-of-stake," </w:t>
      </w:r>
      <w:r w:rsidRPr="00E32AB7">
        <w:rPr>
          <w:rFonts w:ascii="inherit" w:eastAsia="Times New Roman" w:hAnsi="inherit" w:cs="Segoe UI"/>
          <w:i/>
          <w:iCs/>
          <w:kern w:val="0"/>
          <w:bdr w:val="none" w:sz="0" w:space="0" w:color="auto" w:frame="1"/>
          <w:lang w:eastAsia="en-GB" w:bidi="bn-IN"/>
          <w14:ligatures w14:val="none"/>
        </w:rPr>
        <w:t>Ethereum.org</w:t>
      </w:r>
      <w:r w:rsidRPr="00E32AB7">
        <w:rPr>
          <w:rFonts w:ascii="Segoe UI" w:eastAsia="Times New Roman" w:hAnsi="Segoe UI" w:cs="Segoe UI"/>
          <w:kern w:val="0"/>
          <w:lang w:eastAsia="en-GB" w:bidi="bn-IN"/>
          <w14:ligatures w14:val="none"/>
        </w:rPr>
        <w:t>, 2022.</w:t>
      </w:r>
    </w:p>
    <w:p w14:paraId="1AF79434"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E32AB7">
        <w:rPr>
          <w:rFonts w:ascii="Segoe UI" w:eastAsia="Times New Roman" w:hAnsi="Segoe UI" w:cs="Segoe UI"/>
          <w:kern w:val="0"/>
          <w:lang w:eastAsia="en-GB" w:bidi="bn-IN"/>
          <w14:ligatures w14:val="none"/>
        </w:rPr>
        <w:t xml:space="preserve">[9] S. Malik et al., "PrivChain: Provenance and privacy preservation in blockchain enabled supply chains," in </w:t>
      </w:r>
      <w:r w:rsidRPr="00E32AB7">
        <w:rPr>
          <w:rFonts w:ascii="inherit" w:eastAsia="Times New Roman" w:hAnsi="inherit" w:cs="Segoe UI"/>
          <w:i/>
          <w:iCs/>
          <w:kern w:val="0"/>
          <w:bdr w:val="none" w:sz="0" w:space="0" w:color="auto" w:frame="1"/>
          <w:lang w:eastAsia="en-GB" w:bidi="bn-IN"/>
          <w14:ligatures w14:val="none"/>
        </w:rPr>
        <w:t>Proc. IEEE Int. Conf. on Blockchain</w:t>
      </w:r>
      <w:r w:rsidRPr="00E32AB7">
        <w:rPr>
          <w:rFonts w:ascii="Segoe UI" w:eastAsia="Times New Roman" w:hAnsi="Segoe UI" w:cs="Segoe UI"/>
          <w:kern w:val="0"/>
          <w:lang w:eastAsia="en-GB" w:bidi="bn-IN"/>
          <w14:ligatures w14:val="none"/>
        </w:rPr>
        <w:t>, 2022, pp. 157-166.</w:t>
      </w:r>
    </w:p>
    <w:p w14:paraId="5DF2C2D9"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51917015" w14:textId="77777777" w:rsidR="00E32AB7" w:rsidRPr="00E32AB7" w:rsidRDefault="00E32AB7" w:rsidP="00E32AB7">
      <w:pPr>
        <w:shd w:val="clear" w:color="auto" w:fill="FFFFFF"/>
        <w:spacing w:after="0" w:line="390" w:lineRule="atLeast"/>
        <w:textAlignment w:val="baseline"/>
        <w:rPr>
          <w:rFonts w:ascii="Segoe UI" w:eastAsia="Times New Roman" w:hAnsi="Segoe UI" w:cs="Segoe UI"/>
          <w:kern w:val="0"/>
          <w:lang w:eastAsia="en-GB" w:bidi="bn-IN"/>
          <w14:ligatures w14:val="none"/>
        </w:rPr>
      </w:pPr>
    </w:p>
    <w:p w14:paraId="39CD9BB8" w14:textId="77777777" w:rsidR="00E32AB7" w:rsidRPr="00E32AB7" w:rsidRDefault="00E32AB7" w:rsidP="00E32AB7"/>
    <w:sectPr w:rsidR="00E32AB7" w:rsidRPr="00E32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09"/>
    <w:rsid w:val="001301C4"/>
    <w:rsid w:val="002D275A"/>
    <w:rsid w:val="00342AE8"/>
    <w:rsid w:val="006A0109"/>
    <w:rsid w:val="00777201"/>
    <w:rsid w:val="008C4075"/>
    <w:rsid w:val="009C17A9"/>
    <w:rsid w:val="00D76B77"/>
    <w:rsid w:val="00DC4C6F"/>
    <w:rsid w:val="00E32AB7"/>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752460"/>
  <w15:chartTrackingRefBased/>
  <w15:docId w15:val="{321E08FE-D0C1-1D4A-9373-2E068BCE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109"/>
    <w:rPr>
      <w:rFonts w:eastAsiaTheme="majorEastAsia" w:cstheme="majorBidi"/>
      <w:color w:val="272727" w:themeColor="text1" w:themeTint="D8"/>
    </w:rPr>
  </w:style>
  <w:style w:type="paragraph" w:styleId="Title">
    <w:name w:val="Title"/>
    <w:basedOn w:val="Normal"/>
    <w:next w:val="Normal"/>
    <w:link w:val="TitleChar"/>
    <w:uiPriority w:val="10"/>
    <w:qFormat/>
    <w:rsid w:val="006A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109"/>
    <w:pPr>
      <w:spacing w:before="160"/>
      <w:jc w:val="center"/>
    </w:pPr>
    <w:rPr>
      <w:i/>
      <w:iCs/>
      <w:color w:val="404040" w:themeColor="text1" w:themeTint="BF"/>
    </w:rPr>
  </w:style>
  <w:style w:type="character" w:customStyle="1" w:styleId="QuoteChar">
    <w:name w:val="Quote Char"/>
    <w:basedOn w:val="DefaultParagraphFont"/>
    <w:link w:val="Quote"/>
    <w:uiPriority w:val="29"/>
    <w:rsid w:val="006A0109"/>
    <w:rPr>
      <w:i/>
      <w:iCs/>
      <w:color w:val="404040" w:themeColor="text1" w:themeTint="BF"/>
    </w:rPr>
  </w:style>
  <w:style w:type="paragraph" w:styleId="ListParagraph">
    <w:name w:val="List Paragraph"/>
    <w:basedOn w:val="Normal"/>
    <w:uiPriority w:val="34"/>
    <w:qFormat/>
    <w:rsid w:val="006A0109"/>
    <w:pPr>
      <w:ind w:left="720"/>
      <w:contextualSpacing/>
    </w:pPr>
  </w:style>
  <w:style w:type="character" w:styleId="IntenseEmphasis">
    <w:name w:val="Intense Emphasis"/>
    <w:basedOn w:val="DefaultParagraphFont"/>
    <w:uiPriority w:val="21"/>
    <w:qFormat/>
    <w:rsid w:val="006A0109"/>
    <w:rPr>
      <w:i/>
      <w:iCs/>
      <w:color w:val="0F4761" w:themeColor="accent1" w:themeShade="BF"/>
    </w:rPr>
  </w:style>
  <w:style w:type="paragraph" w:styleId="IntenseQuote">
    <w:name w:val="Intense Quote"/>
    <w:basedOn w:val="Normal"/>
    <w:next w:val="Normal"/>
    <w:link w:val="IntenseQuoteChar"/>
    <w:uiPriority w:val="30"/>
    <w:qFormat/>
    <w:rsid w:val="006A0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109"/>
    <w:rPr>
      <w:i/>
      <w:iCs/>
      <w:color w:val="0F4761" w:themeColor="accent1" w:themeShade="BF"/>
    </w:rPr>
  </w:style>
  <w:style w:type="character" w:styleId="IntenseReference">
    <w:name w:val="Intense Reference"/>
    <w:basedOn w:val="DefaultParagraphFont"/>
    <w:uiPriority w:val="32"/>
    <w:qFormat/>
    <w:rsid w:val="006A0109"/>
    <w:rPr>
      <w:b/>
      <w:bCs/>
      <w:smallCaps/>
      <w:color w:val="0F4761" w:themeColor="accent1" w:themeShade="BF"/>
      <w:spacing w:val="5"/>
    </w:rPr>
  </w:style>
  <w:style w:type="character" w:styleId="Strong">
    <w:name w:val="Strong"/>
    <w:basedOn w:val="DefaultParagraphFont"/>
    <w:uiPriority w:val="22"/>
    <w:qFormat/>
    <w:rsid w:val="006A0109"/>
    <w:rPr>
      <w:b/>
      <w:bCs/>
    </w:rPr>
  </w:style>
  <w:style w:type="paragraph" w:styleId="NormalWeb">
    <w:name w:val="Normal (Web)"/>
    <w:basedOn w:val="Normal"/>
    <w:uiPriority w:val="99"/>
    <w:semiHidden/>
    <w:unhideWhenUsed/>
    <w:rsid w:val="006A0109"/>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HTMLCode">
    <w:name w:val="HTML Code"/>
    <w:basedOn w:val="DefaultParagraphFont"/>
    <w:uiPriority w:val="99"/>
    <w:semiHidden/>
    <w:unhideWhenUsed/>
    <w:rsid w:val="00E32AB7"/>
    <w:rPr>
      <w:rFonts w:ascii="Courier New" w:eastAsia="Times New Roman" w:hAnsi="Courier New" w:cs="Courier New"/>
      <w:sz w:val="20"/>
      <w:szCs w:val="20"/>
    </w:rPr>
  </w:style>
  <w:style w:type="character" w:customStyle="1" w:styleId="table-title">
    <w:name w:val="table-title"/>
    <w:basedOn w:val="DefaultParagraphFont"/>
    <w:rsid w:val="00E32AB7"/>
  </w:style>
  <w:style w:type="character" w:styleId="Emphasis">
    <w:name w:val="Emphasis"/>
    <w:basedOn w:val="DefaultParagraphFont"/>
    <w:uiPriority w:val="20"/>
    <w:qFormat/>
    <w:rsid w:val="00E32A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2097</Words>
  <Characters>14619</Characters>
  <Application>Microsoft Office Word</Application>
  <DocSecurity>0</DocSecurity>
  <Lines>261</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Maruf Farhan</cp:lastModifiedBy>
  <cp:revision>2</cp:revision>
  <dcterms:created xsi:type="dcterms:W3CDTF">2026-04-06T14:34:00Z</dcterms:created>
  <dcterms:modified xsi:type="dcterms:W3CDTF">2026-04-12T19:44:00Z</dcterms:modified>
</cp:coreProperties>
</file>