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8612" w14:textId="77777777" w:rsidR="00C22234" w:rsidRPr="0059308D" w:rsidRDefault="00C22234" w:rsidP="00C2223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bidi="bn-IN"/>
          <w14:ligatures w14:val="none"/>
        </w:rPr>
      </w:pPr>
      <w:r w:rsidRPr="0059308D">
        <w:rPr>
          <w:rFonts w:ascii="Times New Roman" w:eastAsia="Times New Roman" w:hAnsi="Times New Roman" w:cs="Times New Roman"/>
          <w:b/>
          <w:bCs/>
          <w:kern w:val="0"/>
          <w:sz w:val="36"/>
          <w:szCs w:val="36"/>
          <w:lang w:eastAsia="en-GB" w:bidi="bn-IN"/>
          <w14:ligatures w14:val="none"/>
        </w:rPr>
        <w:t>BT-CMRS: A Blockchain-Based Trustworthy Conflict Mineral Traceability and Reacquisition System Using Zero-Knowledge Proofs</w:t>
      </w:r>
    </w:p>
    <w:p w14:paraId="60121AAC" w14:textId="77777777" w:rsidR="00FF3C4D" w:rsidRDefault="00FF3C4D"/>
    <w:p w14:paraId="18289975" w14:textId="77777777" w:rsidR="00BA5C74" w:rsidRDefault="00BA5C74"/>
    <w:p w14:paraId="1954EA25" w14:textId="77777777" w:rsidR="00BA5C74" w:rsidRPr="00BA5C74" w:rsidRDefault="00BA5C74" w:rsidP="00BA5C74">
      <w:pPr>
        <w:shd w:val="clear" w:color="auto" w:fill="FFFFFF"/>
        <w:spacing w:after="0" w:line="420" w:lineRule="atLeast"/>
        <w:textAlignment w:val="baseline"/>
        <w:outlineLvl w:val="1"/>
        <w:rPr>
          <w:rFonts w:ascii="Segoe UI" w:eastAsia="Times New Roman" w:hAnsi="Segoe UI" w:cs="Segoe UI"/>
          <w:b/>
          <w:bCs/>
          <w:kern w:val="0"/>
          <w:sz w:val="22"/>
          <w:szCs w:val="22"/>
          <w:lang w:eastAsia="en-GB" w:bidi="bn-IN"/>
          <w14:ligatures w14:val="none"/>
        </w:rPr>
      </w:pPr>
      <w:r w:rsidRPr="00BA5C74">
        <w:rPr>
          <w:rFonts w:ascii="inherit" w:eastAsia="Times New Roman" w:hAnsi="inherit" w:cs="Segoe UI"/>
          <w:b/>
          <w:bCs/>
          <w:kern w:val="0"/>
          <w:sz w:val="23"/>
          <w:szCs w:val="22"/>
          <w:bdr w:val="none" w:sz="0" w:space="0" w:color="auto" w:frame="1"/>
          <w:lang w:eastAsia="en-GB" w:bidi="bn-IN"/>
          <w14:ligatures w14:val="none"/>
        </w:rPr>
        <w:t>1. Introduction</w:t>
      </w:r>
    </w:p>
    <w:p w14:paraId="69A74BEE" w14:textId="77777777" w:rsidR="00BA5C74" w:rsidRDefault="00BA5C74" w:rsidP="00BA5C74">
      <w:pPr>
        <w:shd w:val="clear" w:color="auto" w:fill="FFFFFF"/>
        <w:spacing w:after="0" w:line="390" w:lineRule="atLeast"/>
        <w:textAlignment w:val="baseline"/>
        <w:outlineLvl w:val="2"/>
        <w:rPr>
          <w:rFonts w:ascii="inherit" w:eastAsia="Times New Roman" w:hAnsi="inherit" w:cs="Segoe UI"/>
          <w:b/>
          <w:bCs/>
          <w:kern w:val="0"/>
          <w:sz w:val="20"/>
          <w:szCs w:val="21"/>
          <w:bdr w:val="none" w:sz="0" w:space="0" w:color="auto" w:frame="1"/>
          <w:lang w:eastAsia="en-GB" w:bidi="bn-IN"/>
          <w14:ligatures w14:val="none"/>
        </w:rPr>
      </w:pPr>
      <w:r w:rsidRPr="00BA5C74">
        <w:rPr>
          <w:rFonts w:ascii="inherit" w:eastAsia="Times New Roman" w:hAnsi="inherit" w:cs="Segoe UI"/>
          <w:b/>
          <w:bCs/>
          <w:kern w:val="0"/>
          <w:sz w:val="20"/>
          <w:szCs w:val="21"/>
          <w:bdr w:val="none" w:sz="0" w:space="0" w:color="auto" w:frame="1"/>
          <w:lang w:eastAsia="en-GB" w:bidi="bn-IN"/>
          <w14:ligatures w14:val="none"/>
        </w:rPr>
        <w:t>1.1 Background</w:t>
      </w:r>
    </w:p>
    <w:p w14:paraId="74BE3341" w14:textId="77777777" w:rsidR="005D64E6" w:rsidRPr="00BA5C74" w:rsidRDefault="005D64E6" w:rsidP="00BA5C74">
      <w:pPr>
        <w:shd w:val="clear" w:color="auto" w:fill="FFFFFF"/>
        <w:spacing w:after="0" w:line="390" w:lineRule="atLeast"/>
        <w:textAlignment w:val="baseline"/>
        <w:outlineLvl w:val="2"/>
        <w:rPr>
          <w:rFonts w:ascii="Segoe UI" w:eastAsia="Times New Roman" w:hAnsi="Segoe UI" w:cs="Segoe UI"/>
          <w:b/>
          <w:bCs/>
          <w:kern w:val="0"/>
          <w:sz w:val="21"/>
          <w:szCs w:val="21"/>
          <w:lang w:eastAsia="en-GB" w:bidi="bn-IN"/>
          <w14:ligatures w14:val="none"/>
        </w:rPr>
      </w:pPr>
    </w:p>
    <w:p w14:paraId="5218D608" w14:textId="77777777" w:rsidR="00BA5C74" w:rsidRPr="005C3CBC" w:rsidRDefault="00BA5C74" w:rsidP="005D64E6">
      <w:pPr>
        <w:jc w:val="both"/>
        <w:rPr>
          <w:lang w:eastAsia="en-GB" w:bidi="bn-IN"/>
        </w:rPr>
      </w:pPr>
      <w:r w:rsidRPr="005C3CBC">
        <w:rPr>
          <w:lang w:eastAsia="en-GB" w:bidi="bn-IN"/>
        </w:rPr>
        <w:t xml:space="preserve">The extraction and trade of conflict minerals—specifically tin (cassiterite), tungsten (wolframite), tantalum (coltan), and gold (3TG), alongside increasingly critical cobalt reserves—represent one of the most persistent governance challenges in global supply chain management. These minerals, essential for electronics, electric vehicle batteries, and </w:t>
      </w:r>
      <w:proofErr w:type="spellStart"/>
      <w:r w:rsidRPr="005C3CBC">
        <w:rPr>
          <w:lang w:eastAsia="en-GB" w:bidi="bn-IN"/>
        </w:rPr>
        <w:t>defense</w:t>
      </w:r>
      <w:proofErr w:type="spellEnd"/>
      <w:r w:rsidRPr="005C3CBC">
        <w:rPr>
          <w:lang w:eastAsia="en-GB" w:bidi="bn-IN"/>
        </w:rPr>
        <w:t xml:space="preserve"> technologies, are frequently sourced from conflict-affected and high-risk areas (CAHRAs), particularly the Democratic Republic of the Congo (DRC) and the Great Lakes Region of Africa [1]. The United Nations Group of Experts has documented systematic exploitation of these resources by armed groups, including the recent takeover of the </w:t>
      </w:r>
      <w:proofErr w:type="spellStart"/>
      <w:r w:rsidRPr="005C3CBC">
        <w:rPr>
          <w:lang w:eastAsia="en-GB" w:bidi="bn-IN"/>
        </w:rPr>
        <w:t>Rubaya</w:t>
      </w:r>
      <w:proofErr w:type="spellEnd"/>
      <w:r w:rsidRPr="005C3CBC">
        <w:rPr>
          <w:lang w:eastAsia="en-GB" w:bidi="bn-IN"/>
        </w:rPr>
        <w:t xml:space="preserve"> coltan mines by M23 in April 2024, which generated an estimated $800,000 monthly through illicit taxation and smuggling operations [1]. This exploitation directly fuels armed conflict, sexual violence, and human rights abuses, creating an urgent imperative for transparent yet secure traceability mechanisms [1].</w:t>
      </w:r>
    </w:p>
    <w:p w14:paraId="1DD7D251" w14:textId="77777777" w:rsidR="00BA5C74" w:rsidRPr="005C3CBC" w:rsidRDefault="00BA5C74" w:rsidP="005D64E6">
      <w:pPr>
        <w:jc w:val="both"/>
        <w:rPr>
          <w:lang w:eastAsia="en-GB" w:bidi="bn-IN"/>
        </w:rPr>
      </w:pPr>
      <w:r w:rsidRPr="005C3CBC">
        <w:rPr>
          <w:lang w:eastAsia="en-GB" w:bidi="bn-IN"/>
        </w:rPr>
        <w:t>Regulatory frameworks have evolved significantly to address these challenges. The OECD Due Diligence Guidance for Responsible Supply Chains of Minerals from Conflict-Affected and High-Risk Areas establishes a five-step framework requiring companies to establish management systems, identify and assess risks, design mitigation strategies, conduct independent audits, and publicly report on due diligence efforts [2]. The U.S. Dodd-Frank Wall Street Reform and Consumer Protection Act (2010) mandates SEC-reporting companies to disclose the origin of 3TG minerals and conduct Reasonable Country of Origin Inquiries (RCOI) [3]. Similarly, the EU Conflict Minerals Regulation (2021/990) requires EU-based importers to adhere to OECD due diligence standards when sourcing from CAHRAs [3]. The 2023 update to the OECD Guidelines for Multinational Enterprises further emphasizes risk-based due diligence, expanding requirements for meaningful stakeholder engagement and remediation processes [4].</w:t>
      </w:r>
    </w:p>
    <w:p w14:paraId="7BAC25FE" w14:textId="77777777" w:rsidR="00BA5C74" w:rsidRPr="005C3CBC" w:rsidRDefault="00BA5C74" w:rsidP="005D64E6">
      <w:pPr>
        <w:jc w:val="both"/>
        <w:rPr>
          <w:lang w:eastAsia="en-GB" w:bidi="bn-IN"/>
        </w:rPr>
      </w:pPr>
      <w:r w:rsidRPr="005C3CBC">
        <w:rPr>
          <w:lang w:eastAsia="en-GB" w:bidi="bn-IN"/>
        </w:rPr>
        <w:t>Despite these regulatory advances, the artisanal and small-scale mining (ASM) sector, which accounts for significant portions of global 3TG and cobalt production, faces persistent traceability challenges. The International Tin Supply Chain Initiative (</w:t>
      </w:r>
      <w:proofErr w:type="spellStart"/>
      <w:r w:rsidRPr="005C3CBC">
        <w:rPr>
          <w:lang w:eastAsia="en-GB" w:bidi="bn-IN"/>
        </w:rPr>
        <w:t>iTSCi</w:t>
      </w:r>
      <w:proofErr w:type="spellEnd"/>
      <w:r w:rsidRPr="005C3CBC">
        <w:rPr>
          <w:lang w:eastAsia="en-GB" w:bidi="bn-IN"/>
        </w:rPr>
        <w:t xml:space="preserve">), the predominant industry traceability scheme, relies on manual "bag and tag" systems where paper-based logbooks record mineral movements through the supply chain [5]. </w:t>
      </w:r>
      <w:r w:rsidRPr="005C3CBC">
        <w:rPr>
          <w:lang w:eastAsia="en-GB" w:bidi="bn-IN"/>
        </w:rPr>
        <w:lastRenderedPageBreak/>
        <w:t xml:space="preserve">According to the </w:t>
      </w:r>
      <w:proofErr w:type="spellStart"/>
      <w:r w:rsidRPr="005C3CBC">
        <w:rPr>
          <w:lang w:eastAsia="en-GB" w:bidi="bn-IN"/>
        </w:rPr>
        <w:t>iTSCi</w:t>
      </w:r>
      <w:proofErr w:type="spellEnd"/>
      <w:r w:rsidRPr="005C3CBC">
        <w:rPr>
          <w:lang w:eastAsia="en-GB" w:bidi="bn-IN"/>
        </w:rPr>
        <w:t xml:space="preserve"> Alignment Assessment, staff manually process approximately 740,000 mine tags annually, with data entry for every single transaction from mine site to exporter [6]. This manual processing creates significant delays, with traceability information often unavailable to downstream smelters until tag requests are formally submitted [6]. Furthermore, the system faces credibility challenges regarding the free availability of tags, opportunities for corruption during tagging, and allegations of cross-border mineral laundering where Congolese minerals are fraudulently tagged as Rwandan production [5].</w:t>
      </w:r>
    </w:p>
    <w:p w14:paraId="163A86CC" w14:textId="77777777" w:rsidR="00BA5C74" w:rsidRPr="005C3CBC" w:rsidRDefault="00BA5C74" w:rsidP="005D64E6">
      <w:pPr>
        <w:jc w:val="both"/>
        <w:rPr>
          <w:lang w:eastAsia="en-GB" w:bidi="bn-IN"/>
        </w:rPr>
      </w:pPr>
      <w:r w:rsidRPr="005C3CBC">
        <w:rPr>
          <w:lang w:eastAsia="en-GB" w:bidi="bn-IN"/>
        </w:rPr>
        <w:t>Parallel to these challenges, the demand for ethically sourced critical minerals is accelerating dramatically. The battery supply chain traceability market, driven by cobalt and lithium requirements for electric vehicle production, is projected to expand from $1.0 billion in 2026 to $2.4 billion by 2036, reflecting a compound annual growth rate of 9.4% [7]. This growth intensifies the need for traceability systems that can simultaneously satisfy regulatory compliance, ethical sourcing requirements, and commercial confidentiality.</w:t>
      </w:r>
    </w:p>
    <w:p w14:paraId="5E520DF5" w14:textId="77777777" w:rsidR="00BA5C74" w:rsidRPr="005C3CBC" w:rsidRDefault="00BA5C74" w:rsidP="005D64E6">
      <w:pPr>
        <w:rPr>
          <w:b/>
          <w:bCs/>
          <w:lang w:eastAsia="en-GB" w:bidi="bn-IN"/>
        </w:rPr>
      </w:pPr>
      <w:r w:rsidRPr="005C3CBC">
        <w:rPr>
          <w:b/>
          <w:bCs/>
          <w:lang w:eastAsia="en-GB" w:bidi="bn-IN"/>
        </w:rPr>
        <w:t>1.2 Problem Statement</w:t>
      </w:r>
    </w:p>
    <w:p w14:paraId="0CEE65A5" w14:textId="77777777" w:rsidR="00BA5C74" w:rsidRPr="005C3CBC" w:rsidRDefault="00BA5C74" w:rsidP="005D64E6">
      <w:pPr>
        <w:rPr>
          <w:lang w:eastAsia="en-GB" w:bidi="bn-IN"/>
        </w:rPr>
      </w:pPr>
      <w:r w:rsidRPr="005C3CBC">
        <w:rPr>
          <w:lang w:eastAsia="en-GB" w:bidi="bn-IN"/>
        </w:rPr>
        <w:t>Current mineral traceability systems face a fundamental paradox: they must provide sufficient transparency to verify ethical sourcing while protecting commercially sensitive and security-critical information. The transparency requirement stems from regulatory mandates and corporate social responsibility commitments; however, the disclosure of precise mine locations, supplier identities, and contractual terms creates significant risks. Mining operations in conflict-affected regions face security threats if exact GPS coordinates are publicly exposed, while companies require protection for supply chain strategies and pricing information to maintain competitive advantage [8].</w:t>
      </w:r>
    </w:p>
    <w:p w14:paraId="30BE2529" w14:textId="77777777" w:rsidR="00BA5C74" w:rsidRPr="005C3CBC" w:rsidRDefault="00BA5C74" w:rsidP="005D64E6">
      <w:pPr>
        <w:rPr>
          <w:lang w:eastAsia="en-GB" w:bidi="bn-IN"/>
        </w:rPr>
      </w:pPr>
      <w:r w:rsidRPr="005C3CBC">
        <w:rPr>
          <w:lang w:eastAsia="en-GB" w:bidi="bn-IN"/>
        </w:rPr>
        <w:t xml:space="preserve">Existing blockchain-based solutions, including implementations by </w:t>
      </w:r>
      <w:proofErr w:type="spellStart"/>
      <w:r w:rsidRPr="005C3CBC">
        <w:rPr>
          <w:lang w:eastAsia="en-GB" w:bidi="bn-IN"/>
        </w:rPr>
        <w:t>Minespider</w:t>
      </w:r>
      <w:proofErr w:type="spellEnd"/>
      <w:r w:rsidRPr="005C3CBC">
        <w:rPr>
          <w:lang w:eastAsia="en-GB" w:bidi="bn-IN"/>
        </w:rPr>
        <w:t xml:space="preserve"> and </w:t>
      </w:r>
      <w:proofErr w:type="spellStart"/>
      <w:r w:rsidRPr="005C3CBC">
        <w:rPr>
          <w:lang w:eastAsia="en-GB" w:bidi="bn-IN"/>
        </w:rPr>
        <w:t>Circulor</w:t>
      </w:r>
      <w:proofErr w:type="spellEnd"/>
      <w:r w:rsidRPr="005C3CBC">
        <w:rPr>
          <w:lang w:eastAsia="en-GB" w:bidi="bn-IN"/>
        </w:rPr>
        <w:t>, have improved upon centralized databases by providing immutable transaction records [9]. However, these systems typically store traceability data in plaintext or hashed forms that still reveal transactional relationships and operational details. Zero-knowledge proof (ZKP) protocols have emerged as a cryptographic solution to this paradox, enabling provers to demonstrate the validity of specific claims—such as geographic compliance within a certified region or adherence to temperature thresholds—without revealing the underlying sensitive data [8], [10]. Recent advances in floating-point arithmetic for ZKPs have enabled location privacy with adjustable granularity, allowing verification that a mine operates within an approved administrative boundary without disclosing precise coordinates [11].</w:t>
      </w:r>
    </w:p>
    <w:p w14:paraId="09A474E8" w14:textId="77777777" w:rsidR="00BA5C74" w:rsidRPr="005C3CBC" w:rsidRDefault="00BA5C74" w:rsidP="005D64E6">
      <w:pPr>
        <w:rPr>
          <w:lang w:eastAsia="en-GB" w:bidi="bn-IN"/>
        </w:rPr>
      </w:pPr>
      <w:r w:rsidRPr="005C3CBC">
        <w:rPr>
          <w:lang w:eastAsia="en-GB" w:bidi="bn-IN"/>
        </w:rPr>
        <w:t xml:space="preserve">Furthermore, current systems lack automated mechanisms for handling mineral reacquisition—the return, rejection, or withdrawal of batches due to quality deficiencies, ethical compliance violations, or regulatory audit findings. When smelters </w:t>
      </w:r>
      <w:r w:rsidRPr="005C3CBC">
        <w:rPr>
          <w:lang w:eastAsia="en-GB" w:bidi="bn-IN"/>
        </w:rPr>
        <w:lastRenderedPageBreak/>
        <w:t>or manufacturers identify non-conforming material, existing manual processes require extensive documentation review and bilateral negotiations to verify return conditions and process refunds. This inefficiency creates financial losses and delays the removal of non-compliant materials from supply chains.</w:t>
      </w:r>
    </w:p>
    <w:p w14:paraId="0525A80D" w14:textId="77777777" w:rsidR="00BA5C74" w:rsidRPr="005C3CBC" w:rsidRDefault="00BA5C74" w:rsidP="005D64E6">
      <w:pPr>
        <w:rPr>
          <w:b/>
          <w:bCs/>
          <w:lang w:eastAsia="en-GB" w:bidi="bn-IN"/>
        </w:rPr>
      </w:pPr>
      <w:r w:rsidRPr="005C3CBC">
        <w:rPr>
          <w:b/>
          <w:bCs/>
          <w:lang w:eastAsia="en-GB" w:bidi="bn-IN"/>
        </w:rPr>
        <w:t>1.3 Research Questions</w:t>
      </w:r>
    </w:p>
    <w:p w14:paraId="10AC9DF1" w14:textId="77777777" w:rsidR="00BA5C74" w:rsidRPr="005C3CBC" w:rsidRDefault="00BA5C74" w:rsidP="005C3CBC">
      <w:pPr>
        <w:jc w:val="both"/>
        <w:rPr>
          <w:lang w:eastAsia="en-GB" w:bidi="bn-IN"/>
        </w:rPr>
      </w:pPr>
      <w:r w:rsidRPr="005C3CBC">
        <w:rPr>
          <w:lang w:eastAsia="en-GB" w:bidi="bn-IN"/>
        </w:rPr>
        <w:t>This study addresses the following research questions:</w:t>
      </w:r>
    </w:p>
    <w:p w14:paraId="4933E843" w14:textId="77777777" w:rsidR="00BA5C74" w:rsidRPr="005C3CBC" w:rsidRDefault="00BA5C74" w:rsidP="005C3CBC">
      <w:pPr>
        <w:jc w:val="both"/>
        <w:rPr>
          <w:lang w:eastAsia="en-GB" w:bidi="bn-IN"/>
        </w:rPr>
      </w:pPr>
      <w:r w:rsidRPr="005C3CBC">
        <w:rPr>
          <w:b/>
          <w:bCs/>
          <w:lang w:eastAsia="en-GB" w:bidi="bn-IN"/>
        </w:rPr>
        <w:t>RQ1:</w:t>
      </w:r>
      <w:r w:rsidRPr="005C3CBC">
        <w:rPr>
          <w:lang w:eastAsia="en-GB" w:bidi="bn-IN"/>
        </w:rPr>
        <w:t xml:space="preserve"> How can zero-knowledge proof mechanisms be designed to verify conflict-free mineral sourcing while preserving the geographic privacy and commercial confidentiality of mining operations?</w:t>
      </w:r>
    </w:p>
    <w:p w14:paraId="676237A4" w14:textId="77777777" w:rsidR="00BA5C74" w:rsidRPr="005C3CBC" w:rsidRDefault="00BA5C74" w:rsidP="005C3CBC">
      <w:pPr>
        <w:jc w:val="both"/>
        <w:rPr>
          <w:lang w:eastAsia="en-GB" w:bidi="bn-IN"/>
        </w:rPr>
      </w:pPr>
      <w:r w:rsidRPr="005C3CBC">
        <w:rPr>
          <w:b/>
          <w:bCs/>
          <w:lang w:eastAsia="en-GB" w:bidi="bn-IN"/>
        </w:rPr>
        <w:t>RQ2:</w:t>
      </w:r>
      <w:r w:rsidRPr="005C3CBC">
        <w:rPr>
          <w:lang w:eastAsia="en-GB" w:bidi="bn-IN"/>
        </w:rPr>
        <w:t xml:space="preserve"> What smart contract architectures can automate the validation of mineral reacquisition processes without revealing sensitive supply chain relationships?</w:t>
      </w:r>
    </w:p>
    <w:p w14:paraId="3DFD7E99" w14:textId="77777777" w:rsidR="00BA5C74" w:rsidRPr="005C3CBC" w:rsidRDefault="00BA5C74" w:rsidP="005C3CBC">
      <w:pPr>
        <w:jc w:val="both"/>
        <w:rPr>
          <w:lang w:eastAsia="en-GB" w:bidi="bn-IN"/>
        </w:rPr>
      </w:pPr>
      <w:r w:rsidRPr="005C3CBC">
        <w:rPr>
          <w:b/>
          <w:bCs/>
          <w:lang w:eastAsia="en-GB" w:bidi="bn-IN"/>
        </w:rPr>
        <w:t>RQ3:</w:t>
      </w:r>
      <w:r w:rsidRPr="005C3CBC">
        <w:rPr>
          <w:lang w:eastAsia="en-GB" w:bidi="bn-IN"/>
        </w:rPr>
        <w:t xml:space="preserve"> How does the integration of ZKP-based privacy preservation affect the performance and scalability of blockchain-based mineral traceability systems compared to existing transparent architectures?</w:t>
      </w:r>
    </w:p>
    <w:p w14:paraId="40EE7C43" w14:textId="77777777" w:rsidR="00BA5C74" w:rsidRPr="005C3CBC" w:rsidRDefault="00BA5C74" w:rsidP="005C3CBC">
      <w:pPr>
        <w:jc w:val="both"/>
        <w:rPr>
          <w:b/>
          <w:bCs/>
          <w:lang w:eastAsia="en-GB" w:bidi="bn-IN"/>
        </w:rPr>
      </w:pPr>
      <w:r w:rsidRPr="005C3CBC">
        <w:rPr>
          <w:b/>
          <w:bCs/>
          <w:lang w:eastAsia="en-GB" w:bidi="bn-IN"/>
        </w:rPr>
        <w:t>1.4 Contributions</w:t>
      </w:r>
    </w:p>
    <w:p w14:paraId="1821F786" w14:textId="77777777" w:rsidR="00BA5C74" w:rsidRPr="005C3CBC" w:rsidRDefault="00BA5C74" w:rsidP="005C3CBC">
      <w:pPr>
        <w:jc w:val="both"/>
        <w:rPr>
          <w:lang w:eastAsia="en-GB" w:bidi="bn-IN"/>
        </w:rPr>
      </w:pPr>
      <w:r w:rsidRPr="005C3CBC">
        <w:rPr>
          <w:lang w:eastAsia="en-GB" w:bidi="bn-IN"/>
        </w:rPr>
        <w:t>This paper presents BT-CMRS (Blockchain for Tin/Conflict Mineral Secure Reacquisition System), a novel framework that integrates zero-knowledge proofs with Ethereum smart contracts to address the privacy-transparency paradox in mineral supply chains. The specific contributions are:</w:t>
      </w:r>
    </w:p>
    <w:p w14:paraId="6A2199B5" w14:textId="77777777" w:rsidR="00BA5C74" w:rsidRPr="005C3CBC" w:rsidRDefault="00BA5C74" w:rsidP="005C3CBC">
      <w:pPr>
        <w:jc w:val="both"/>
        <w:rPr>
          <w:lang w:eastAsia="en-GB" w:bidi="bn-IN"/>
        </w:rPr>
      </w:pPr>
      <w:r w:rsidRPr="005C3CBC">
        <w:rPr>
          <w:b/>
          <w:bCs/>
          <w:lang w:eastAsia="en-GB" w:bidi="bn-IN"/>
        </w:rPr>
        <w:t>Novel Region-Based ZKP Scheme</w:t>
      </w:r>
      <w:r w:rsidRPr="005C3CBC">
        <w:rPr>
          <w:lang w:eastAsia="en-GB" w:bidi="bn-IN"/>
        </w:rPr>
        <w:t>: We propose the first zero-knowledge proof formulation specifically designed for mineral supply chains that enables mines to prove compliance with geographic and ethical standards within administrative boundaries (e.g., province or district levels) without revealing exact GPS coordinates, utilizing IEEE 754 floating-point arithmetic for computational accuracy [11].</w:t>
      </w:r>
    </w:p>
    <w:p w14:paraId="2612A047" w14:textId="77777777" w:rsidR="00BA5C74" w:rsidRPr="005C3CBC" w:rsidRDefault="00BA5C74" w:rsidP="005C3CBC">
      <w:pPr>
        <w:jc w:val="both"/>
        <w:rPr>
          <w:lang w:eastAsia="en-GB" w:bidi="bn-IN"/>
        </w:rPr>
      </w:pPr>
      <w:r w:rsidRPr="005C3CBC">
        <w:rPr>
          <w:b/>
          <w:bCs/>
          <w:lang w:eastAsia="en-GB" w:bidi="bn-IN"/>
        </w:rPr>
        <w:t>Automated Reacquisition Protocol</w:t>
      </w:r>
      <w:r w:rsidRPr="005C3CBC">
        <w:rPr>
          <w:lang w:eastAsia="en-GB" w:bidi="bn-IN"/>
        </w:rPr>
        <w:t>: We design a smart contract-based reacquisition mechanism that validates batch returns through zero-knowledge proofs of origin authenticity and compliance status, eliminating manual verification delays while maintaining supplier anonymity.</w:t>
      </w:r>
    </w:p>
    <w:p w14:paraId="339B905F" w14:textId="77777777" w:rsidR="00BA5C74" w:rsidRPr="005C3CBC" w:rsidRDefault="00BA5C74" w:rsidP="005C3CBC">
      <w:pPr>
        <w:jc w:val="both"/>
        <w:rPr>
          <w:lang w:eastAsia="en-GB" w:bidi="bn-IN"/>
        </w:rPr>
      </w:pPr>
      <w:r w:rsidRPr="005C3CBC">
        <w:rPr>
          <w:b/>
          <w:bCs/>
          <w:lang w:eastAsia="en-GB" w:bidi="bn-IN"/>
        </w:rPr>
        <w:t>Privacy-Preserving Certification Chain</w:t>
      </w:r>
      <w:r w:rsidRPr="005C3CBC">
        <w:rPr>
          <w:lang w:eastAsia="en-GB" w:bidi="bn-IN"/>
        </w:rPr>
        <w:t>: We introduce a multi-tier ZKP validation system that verifies the complete certification chain from mine to smelter (Mine → Cooperative → Exporter → Smelter) without exposing intermediary identities or contractual terms.</w:t>
      </w:r>
    </w:p>
    <w:p w14:paraId="71FE5869" w14:textId="77777777" w:rsidR="00BA5C74" w:rsidRPr="005C3CBC" w:rsidRDefault="00BA5C74" w:rsidP="005C3CBC">
      <w:pPr>
        <w:jc w:val="both"/>
        <w:rPr>
          <w:lang w:eastAsia="en-GB" w:bidi="bn-IN"/>
        </w:rPr>
      </w:pPr>
      <w:r w:rsidRPr="005C3CBC">
        <w:rPr>
          <w:b/>
          <w:bCs/>
          <w:lang w:eastAsia="en-GB" w:bidi="bn-IN"/>
        </w:rPr>
        <w:t>Performance Evaluation</w:t>
      </w:r>
      <w:r w:rsidRPr="005C3CBC">
        <w:rPr>
          <w:lang w:eastAsia="en-GB" w:bidi="bn-IN"/>
        </w:rPr>
        <w:t xml:space="preserve">: We implement the framework on the Ethereum </w:t>
      </w:r>
      <w:proofErr w:type="spellStart"/>
      <w:r w:rsidRPr="005C3CBC">
        <w:rPr>
          <w:lang w:eastAsia="en-GB" w:bidi="bn-IN"/>
        </w:rPr>
        <w:t>Sepolia</w:t>
      </w:r>
      <w:proofErr w:type="spellEnd"/>
      <w:r w:rsidRPr="005C3CBC">
        <w:rPr>
          <w:lang w:eastAsia="en-GB" w:bidi="bn-IN"/>
        </w:rPr>
        <w:t xml:space="preserve"> </w:t>
      </w:r>
      <w:proofErr w:type="spellStart"/>
      <w:r w:rsidRPr="005C3CBC">
        <w:rPr>
          <w:lang w:eastAsia="en-GB" w:bidi="bn-IN"/>
        </w:rPr>
        <w:t>testnet</w:t>
      </w:r>
      <w:proofErr w:type="spellEnd"/>
      <w:r w:rsidRPr="005C3CBC">
        <w:rPr>
          <w:lang w:eastAsia="en-GB" w:bidi="bn-IN"/>
        </w:rPr>
        <w:t xml:space="preserve"> and evaluate throughput, latency, and gas costs, demonstrating the practical feasibility of privacy-preserving mineral traceability.</w:t>
      </w:r>
    </w:p>
    <w:p w14:paraId="4592B46C" w14:textId="77777777" w:rsidR="00BA5C74" w:rsidRPr="005C3CBC" w:rsidRDefault="00BA5C74" w:rsidP="005D64E6">
      <w:pPr>
        <w:rPr>
          <w:b/>
          <w:bCs/>
          <w:lang w:eastAsia="en-GB" w:bidi="bn-IN"/>
        </w:rPr>
      </w:pPr>
      <w:r w:rsidRPr="005C3CBC">
        <w:rPr>
          <w:b/>
          <w:bCs/>
          <w:lang w:eastAsia="en-GB" w:bidi="bn-IN"/>
        </w:rPr>
        <w:t>1.5 Paper Organization</w:t>
      </w:r>
    </w:p>
    <w:p w14:paraId="28206BE0" w14:textId="77777777" w:rsidR="00BA5C74" w:rsidRPr="005C3CBC" w:rsidRDefault="00BA5C74" w:rsidP="005D64E6">
      <w:pPr>
        <w:rPr>
          <w:lang w:eastAsia="en-GB" w:bidi="bn-IN"/>
        </w:rPr>
      </w:pPr>
      <w:r w:rsidRPr="005C3CBC">
        <w:rPr>
          <w:lang w:eastAsia="en-GB" w:bidi="bn-IN"/>
        </w:rPr>
        <w:lastRenderedPageBreak/>
        <w:t>The remainder of this paper is organized as follows. Section 2 reviews related work on blockchain applications in mineral supply chains, existing traceability systems, and ZKP implementations in logistics. Section 3 presents the BT-CMRS architecture, detailing the ZKP-based extraction process, reacquisition workflow, and security mechanisms. Section 4 describes the implementation environment, smart contract deployment, and simulation results. Section 5 discusses comparative advantages, real-world deployment challenges, and limitations. Section 6 concludes with future research directions.</w:t>
      </w:r>
    </w:p>
    <w:p w14:paraId="5A0D24DA" w14:textId="77777777" w:rsidR="005D64E6" w:rsidRPr="005C3CBC" w:rsidRDefault="005D64E6" w:rsidP="005D64E6"/>
    <w:p w14:paraId="7FC2055F" w14:textId="77777777" w:rsidR="005D64E6" w:rsidRPr="005C3CBC" w:rsidRDefault="005D64E6" w:rsidP="00BA5C74">
      <w:pPr>
        <w:shd w:val="clear" w:color="auto" w:fill="FFFFFF"/>
        <w:spacing w:after="0" w:line="420" w:lineRule="atLeast"/>
        <w:textAlignment w:val="baseline"/>
        <w:outlineLvl w:val="1"/>
        <w:rPr>
          <w:rFonts w:ascii="Segoe UI" w:eastAsia="Times New Roman" w:hAnsi="Segoe UI" w:cs="Segoe UI"/>
          <w:spacing w:val="8"/>
          <w:kern w:val="0"/>
          <w:lang w:eastAsia="en-GB" w:bidi="bn-IN"/>
          <w14:ligatures w14:val="none"/>
        </w:rPr>
      </w:pPr>
    </w:p>
    <w:p w14:paraId="2397998B" w14:textId="454B95E3" w:rsidR="00BA5C74" w:rsidRPr="005C3CBC" w:rsidRDefault="00BA5C74" w:rsidP="00BA5C74">
      <w:pPr>
        <w:shd w:val="clear" w:color="auto" w:fill="FFFFFF"/>
        <w:spacing w:after="0" w:line="420" w:lineRule="atLeast"/>
        <w:textAlignment w:val="baseline"/>
        <w:outlineLvl w:val="1"/>
        <w:rPr>
          <w:rFonts w:ascii="Segoe UI" w:eastAsia="Times New Roman" w:hAnsi="Segoe UI" w:cs="Segoe UI"/>
          <w:b/>
          <w:bCs/>
          <w:kern w:val="0"/>
          <w:lang w:eastAsia="en-GB" w:bidi="bn-IN"/>
          <w14:ligatures w14:val="none"/>
        </w:rPr>
      </w:pPr>
      <w:r w:rsidRPr="005C3CBC">
        <w:rPr>
          <w:rFonts w:ascii="inherit" w:eastAsia="Times New Roman" w:hAnsi="inherit" w:cs="Segoe UI"/>
          <w:b/>
          <w:bCs/>
          <w:kern w:val="0"/>
          <w:bdr w:val="none" w:sz="0" w:space="0" w:color="auto" w:frame="1"/>
          <w:lang w:eastAsia="en-GB" w:bidi="bn-IN"/>
          <w14:ligatures w14:val="none"/>
        </w:rPr>
        <w:t>References</w:t>
      </w:r>
    </w:p>
    <w:p w14:paraId="09EA31CE"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 United Nations Security Council, "Final report of the Group of Experts on the Democratic Republic of </w:t>
      </w:r>
      <w:proofErr w:type="gramStart"/>
      <w:r w:rsidRPr="005C3CBC">
        <w:rPr>
          <w:rFonts w:ascii="Segoe UI" w:eastAsia="Times New Roman" w:hAnsi="Segoe UI" w:cs="Segoe UI"/>
          <w:kern w:val="0"/>
          <w:lang w:eastAsia="en-GB" w:bidi="bn-IN"/>
          <w14:ligatures w14:val="none"/>
        </w:rPr>
        <w:t>the Congo</w:t>
      </w:r>
      <w:proofErr w:type="gramEnd"/>
      <w:r w:rsidRPr="005C3CBC">
        <w:rPr>
          <w:rFonts w:ascii="Segoe UI" w:eastAsia="Times New Roman" w:hAnsi="Segoe UI" w:cs="Segoe UI"/>
          <w:kern w:val="0"/>
          <w:lang w:eastAsia="en-GB" w:bidi="bn-IN"/>
          <w14:ligatures w14:val="none"/>
        </w:rPr>
        <w:t xml:space="preserve">," </w:t>
      </w:r>
      <w:r w:rsidRPr="005C3CBC">
        <w:rPr>
          <w:rFonts w:ascii="inherit" w:eastAsia="Times New Roman" w:hAnsi="inherit" w:cs="Segoe UI"/>
          <w:i/>
          <w:iCs/>
          <w:kern w:val="0"/>
          <w:bdr w:val="none" w:sz="0" w:space="0" w:color="auto" w:frame="1"/>
          <w:lang w:eastAsia="en-GB" w:bidi="bn-IN"/>
          <w14:ligatures w14:val="none"/>
        </w:rPr>
        <w:t>S/2024/969</w:t>
      </w:r>
      <w:r w:rsidRPr="005C3CBC">
        <w:rPr>
          <w:rFonts w:ascii="Segoe UI" w:eastAsia="Times New Roman" w:hAnsi="Segoe UI" w:cs="Segoe UI"/>
          <w:kern w:val="0"/>
          <w:lang w:eastAsia="en-GB" w:bidi="bn-IN"/>
          <w14:ligatures w14:val="none"/>
        </w:rPr>
        <w:t>, Dec. 2024.</w:t>
      </w:r>
    </w:p>
    <w:p w14:paraId="78856A2C"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[2] OECD, "OECD Due Diligence Guidance for Responsible Supply Chains of Minerals from Conflict-Affected and High-Risk Areas," </w:t>
      </w:r>
      <w:r w:rsidRPr="005C3CBC">
        <w:rPr>
          <w:rFonts w:ascii="inherit" w:eastAsia="Times New Roman" w:hAnsi="inherit" w:cs="Segoe UI"/>
          <w:i/>
          <w:iCs/>
          <w:kern w:val="0"/>
          <w:bdr w:val="none" w:sz="0" w:space="0" w:color="auto" w:frame="1"/>
          <w:lang w:eastAsia="en-GB" w:bidi="bn-IN"/>
          <w14:ligatures w14:val="none"/>
        </w:rPr>
        <w:t>3rd Edition</w:t>
      </w:r>
      <w:r w:rsidRPr="005C3CBC">
        <w:rPr>
          <w:rFonts w:ascii="Segoe UI" w:eastAsia="Times New Roman" w:hAnsi="Segoe UI" w:cs="Segoe UI"/>
          <w:kern w:val="0"/>
          <w:lang w:eastAsia="en-GB" w:bidi="bn-IN"/>
          <w14:ligatures w14:val="none"/>
        </w:rPr>
        <w:t>, Paris: OECD Publishing, 2023.</w:t>
      </w:r>
    </w:p>
    <w:p w14:paraId="31471EFC"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[3] ArcelorMittal, "Conflict Minerals Report," </w:t>
      </w:r>
      <w:r w:rsidRPr="005C3CBC">
        <w:rPr>
          <w:rFonts w:ascii="inherit" w:eastAsia="Times New Roman" w:hAnsi="inherit" w:cs="Segoe UI"/>
          <w:i/>
          <w:iCs/>
          <w:kern w:val="0"/>
          <w:bdr w:val="none" w:sz="0" w:space="0" w:color="auto" w:frame="1"/>
          <w:lang w:eastAsia="en-GB" w:bidi="bn-IN"/>
          <w14:ligatures w14:val="none"/>
        </w:rPr>
        <w:t>Corporate Governance</w:t>
      </w:r>
      <w:r w:rsidRPr="005C3CBC">
        <w:rPr>
          <w:rFonts w:ascii="Segoe UI" w:eastAsia="Times New Roman" w:hAnsi="Segoe UI" w:cs="Segoe UI"/>
          <w:kern w:val="0"/>
          <w:lang w:eastAsia="en-GB" w:bidi="bn-IN"/>
          <w14:ligatures w14:val="none"/>
        </w:rPr>
        <w:t xml:space="preserve">, 2024. [Online]. Available: </w:t>
      </w:r>
      <w:hyperlink r:id="rId5" w:tgtFrame="_blank" w:history="1">
        <w:r w:rsidRPr="005C3CBC">
          <w:rPr>
            <w:rFonts w:ascii="Segoe UI" w:eastAsia="Times New Roman" w:hAnsi="Segoe UI" w:cs="Segoe UI"/>
            <w:color w:val="1783FF"/>
            <w:kern w:val="0"/>
            <w:u w:val="single"/>
            <w:bdr w:val="none" w:sz="0" w:space="0" w:color="auto" w:frame="1"/>
            <w:lang w:eastAsia="en-GB" w:bidi="bn-IN"/>
            <w14:ligatures w14:val="none"/>
          </w:rPr>
          <w:t>https://corporate.arcelormittal.com</w:t>
        </w:r>
      </w:hyperlink>
    </w:p>
    <w:p w14:paraId="107C6CE9"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[4] L. Feld, "A (Slight) Raise of the Bar: Due Diligence in the 2023 Update of the OECD Guidelines for Multinational Enterprises," </w:t>
      </w:r>
      <w:r w:rsidRPr="005C3CBC">
        <w:rPr>
          <w:rFonts w:ascii="inherit" w:eastAsia="Times New Roman" w:hAnsi="inherit" w:cs="Segoe UI"/>
          <w:i/>
          <w:iCs/>
          <w:kern w:val="0"/>
          <w:bdr w:val="none" w:sz="0" w:space="0" w:color="auto" w:frame="1"/>
          <w:lang w:eastAsia="en-GB" w:bidi="bn-IN"/>
          <w14:ligatures w14:val="none"/>
        </w:rPr>
        <w:t>OECD Watch</w:t>
      </w:r>
      <w:r w:rsidRPr="005C3CBC">
        <w:rPr>
          <w:rFonts w:ascii="Segoe UI" w:eastAsia="Times New Roman" w:hAnsi="Segoe UI" w:cs="Segoe UI"/>
          <w:kern w:val="0"/>
          <w:lang w:eastAsia="en-GB" w:bidi="bn-IN"/>
          <w14:ligatures w14:val="none"/>
        </w:rPr>
        <w:t>, Nov. 2023.</w:t>
      </w:r>
    </w:p>
    <w:p w14:paraId="106AE570"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[5] European Parliament, "Traceability of critical raw materials, with a focus on Africa," </w:t>
      </w:r>
      <w:r w:rsidRPr="005C3CBC">
        <w:rPr>
          <w:rFonts w:ascii="inherit" w:eastAsia="Times New Roman" w:hAnsi="inherit" w:cs="Segoe UI"/>
          <w:i/>
          <w:iCs/>
          <w:kern w:val="0"/>
          <w:bdr w:val="none" w:sz="0" w:space="0" w:color="auto" w:frame="1"/>
          <w:lang w:eastAsia="en-GB" w:bidi="bn-IN"/>
          <w14:ligatures w14:val="none"/>
        </w:rPr>
        <w:t>Policy Department for External Relations</w:t>
      </w:r>
      <w:r w:rsidRPr="005C3CBC">
        <w:rPr>
          <w:rFonts w:ascii="Segoe UI" w:eastAsia="Times New Roman" w:hAnsi="Segoe UI" w:cs="Segoe UI"/>
          <w:kern w:val="0"/>
          <w:lang w:eastAsia="en-GB" w:bidi="bn-IN"/>
          <w14:ligatures w14:val="none"/>
        </w:rPr>
        <w:t>, 2024.</w:t>
      </w:r>
    </w:p>
    <w:p w14:paraId="6FF0B567"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[6] </w:t>
      </w:r>
      <w:proofErr w:type="spellStart"/>
      <w:r w:rsidRPr="005C3CBC">
        <w:rPr>
          <w:rFonts w:ascii="Segoe UI" w:eastAsia="Times New Roman" w:hAnsi="Segoe UI" w:cs="Segoe UI"/>
          <w:kern w:val="0"/>
          <w:lang w:eastAsia="en-GB" w:bidi="bn-IN"/>
          <w14:ligatures w14:val="none"/>
        </w:rPr>
        <w:t>iTSCi</w:t>
      </w:r>
      <w:proofErr w:type="spellEnd"/>
      <w:r w:rsidRPr="005C3CBC">
        <w:rPr>
          <w:rFonts w:ascii="Segoe UI" w:eastAsia="Times New Roman" w:hAnsi="Segoe UI" w:cs="Segoe UI"/>
          <w:kern w:val="0"/>
          <w:lang w:eastAsia="en-GB" w:bidi="bn-IN"/>
          <w14:ligatures w14:val="none"/>
        </w:rPr>
        <w:t xml:space="preserve">, "ITSCI Alignment Assessment Report," </w:t>
      </w:r>
      <w:r w:rsidRPr="005C3CBC">
        <w:rPr>
          <w:rFonts w:ascii="inherit" w:eastAsia="Times New Roman" w:hAnsi="inherit" w:cs="Segoe UI"/>
          <w:i/>
          <w:iCs/>
          <w:kern w:val="0"/>
          <w:bdr w:val="none" w:sz="0" w:space="0" w:color="auto" w:frame="1"/>
          <w:lang w:eastAsia="en-GB" w:bidi="bn-IN"/>
          <w14:ligatures w14:val="none"/>
        </w:rPr>
        <w:t>Internal Review</w:t>
      </w:r>
      <w:r w:rsidRPr="005C3CBC">
        <w:rPr>
          <w:rFonts w:ascii="Segoe UI" w:eastAsia="Times New Roman" w:hAnsi="Segoe UI" w:cs="Segoe UI"/>
          <w:kern w:val="0"/>
          <w:lang w:eastAsia="en-GB" w:bidi="bn-IN"/>
          <w14:ligatures w14:val="none"/>
        </w:rPr>
        <w:t>, Sep. 2024.</w:t>
      </w:r>
    </w:p>
    <w:p w14:paraId="006C27B5"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[7] Future Market Insights, "Battery Supply Chain Traceability Market (2026-2036)," </w:t>
      </w:r>
      <w:r w:rsidRPr="005C3CBC">
        <w:rPr>
          <w:rFonts w:ascii="inherit" w:eastAsia="Times New Roman" w:hAnsi="inherit" w:cs="Segoe UI"/>
          <w:i/>
          <w:iCs/>
          <w:kern w:val="0"/>
          <w:bdr w:val="none" w:sz="0" w:space="0" w:color="auto" w:frame="1"/>
          <w:lang w:eastAsia="en-GB" w:bidi="bn-IN"/>
          <w14:ligatures w14:val="none"/>
        </w:rPr>
        <w:t>Market Research Report</w:t>
      </w:r>
      <w:r w:rsidRPr="005C3CBC">
        <w:rPr>
          <w:rFonts w:ascii="Segoe UI" w:eastAsia="Times New Roman" w:hAnsi="Segoe UI" w:cs="Segoe UI"/>
          <w:kern w:val="0"/>
          <w:lang w:eastAsia="en-GB" w:bidi="bn-IN"/>
          <w14:ligatures w14:val="none"/>
        </w:rPr>
        <w:t>, Mar. 2026.</w:t>
      </w:r>
    </w:p>
    <w:p w14:paraId="503C04D3"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[8] S. Malik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w:t>
      </w:r>
      <w:proofErr w:type="spellStart"/>
      <w:r w:rsidRPr="005C3CBC">
        <w:rPr>
          <w:rFonts w:ascii="Segoe UI" w:eastAsia="Times New Roman" w:hAnsi="Segoe UI" w:cs="Segoe UI"/>
          <w:kern w:val="0"/>
          <w:lang w:eastAsia="en-GB" w:bidi="bn-IN"/>
          <w14:ligatures w14:val="none"/>
        </w:rPr>
        <w:t>PrivChain</w:t>
      </w:r>
      <w:proofErr w:type="spellEnd"/>
      <w:r w:rsidRPr="005C3CBC">
        <w:rPr>
          <w:rFonts w:ascii="Segoe UI" w:eastAsia="Times New Roman" w:hAnsi="Segoe UI" w:cs="Segoe UI"/>
          <w:kern w:val="0"/>
          <w:lang w:eastAsia="en-GB" w:bidi="bn-IN"/>
          <w14:ligatures w14:val="none"/>
        </w:rPr>
        <w:t xml:space="preserve">: Provenance and privacy preservation in blockchain enabled supply chains,"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2022, pp. 157–166.</w:t>
      </w:r>
    </w:p>
    <w:p w14:paraId="2991E3BA"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[9] F. Longo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"Blockchain-enabled supply chain: An experimental study," </w:t>
      </w:r>
      <w:r w:rsidRPr="005C3CBC">
        <w:rPr>
          <w:rFonts w:ascii="inherit" w:eastAsia="Times New Roman" w:hAnsi="inherit" w:cs="Segoe UI"/>
          <w:i/>
          <w:iCs/>
          <w:kern w:val="0"/>
          <w:bdr w:val="none" w:sz="0" w:space="0" w:color="auto" w:frame="1"/>
          <w:lang w:eastAsia="en-GB" w:bidi="bn-IN"/>
          <w14:ligatures w14:val="none"/>
        </w:rPr>
        <w:t>Computers &amp; Industrial Engineering</w:t>
      </w:r>
      <w:r w:rsidRPr="005C3CBC">
        <w:rPr>
          <w:rFonts w:ascii="Segoe UI" w:eastAsia="Times New Roman" w:hAnsi="Segoe UI" w:cs="Segoe UI"/>
          <w:kern w:val="0"/>
          <w:lang w:eastAsia="en-GB" w:bidi="bn-IN"/>
          <w14:ligatures w14:val="none"/>
        </w:rPr>
        <w:t>, vol. 136, pp. 57–69, 2019.</w:t>
      </w:r>
    </w:p>
    <w:p w14:paraId="5CDA2A0A"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[10] S. Sahai, N. Singh, and P. Dayama, "Enabling privacy and traceability in supply chains using blockchain and zero knowledge proofs,"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2020, pp. 134–143.</w:t>
      </w:r>
    </w:p>
    <w:p w14:paraId="388BA8CF" w14:textId="77777777" w:rsidR="00BA5C74" w:rsidRPr="005C3CBC" w:rsidRDefault="00BA5C74" w:rsidP="00BA5C74">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[11] J. Ernstberger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"Zero-Knowledge Location Privacy via Accurate Floating-Point SNARKs," </w:t>
      </w:r>
      <w:proofErr w:type="spellStart"/>
      <w:r w:rsidRPr="005C3CBC">
        <w:rPr>
          <w:rFonts w:ascii="inherit" w:eastAsia="Times New Roman" w:hAnsi="inherit" w:cs="Segoe UI"/>
          <w:i/>
          <w:iCs/>
          <w:kern w:val="0"/>
          <w:bdr w:val="none" w:sz="0" w:space="0" w:color="auto" w:frame="1"/>
          <w:lang w:eastAsia="en-GB" w:bidi="bn-IN"/>
          <w14:ligatures w14:val="none"/>
        </w:rPr>
        <w:t>arXiv</w:t>
      </w:r>
      <w:proofErr w:type="spellEnd"/>
      <w:r w:rsidRPr="005C3CBC">
        <w:rPr>
          <w:rFonts w:ascii="inherit" w:eastAsia="Times New Roman" w:hAnsi="inherit" w:cs="Segoe UI"/>
          <w:i/>
          <w:iCs/>
          <w:kern w:val="0"/>
          <w:bdr w:val="none" w:sz="0" w:space="0" w:color="auto" w:frame="1"/>
          <w:lang w:eastAsia="en-GB" w:bidi="bn-IN"/>
          <w14:ligatures w14:val="none"/>
        </w:rPr>
        <w:t xml:space="preserve"> preprint arXiv:2404.14983</w:t>
      </w:r>
      <w:r w:rsidRPr="005C3CBC">
        <w:rPr>
          <w:rFonts w:ascii="Segoe UI" w:eastAsia="Times New Roman" w:hAnsi="Segoe UI" w:cs="Segoe UI"/>
          <w:kern w:val="0"/>
          <w:lang w:eastAsia="en-GB" w:bidi="bn-IN"/>
          <w14:ligatures w14:val="none"/>
        </w:rPr>
        <w:t>, 2024.</w:t>
      </w:r>
    </w:p>
    <w:p w14:paraId="0CC47C54" w14:textId="77777777" w:rsidR="00BA5C74" w:rsidRDefault="00BA5C74"/>
    <w:sectPr w:rsidR="00BA5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60D89"/>
    <w:multiLevelType w:val="multilevel"/>
    <w:tmpl w:val="0AA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180567"/>
    <w:multiLevelType w:val="multilevel"/>
    <w:tmpl w:val="C0F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9138227">
    <w:abstractNumId w:val="1"/>
  </w:num>
  <w:num w:numId="2" w16cid:durableId="45032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F1"/>
    <w:rsid w:val="001301C4"/>
    <w:rsid w:val="001305F1"/>
    <w:rsid w:val="00342AE8"/>
    <w:rsid w:val="005C3CBC"/>
    <w:rsid w:val="005D64E6"/>
    <w:rsid w:val="00777201"/>
    <w:rsid w:val="008C4075"/>
    <w:rsid w:val="00A56B96"/>
    <w:rsid w:val="00BA5C74"/>
    <w:rsid w:val="00BD73CE"/>
    <w:rsid w:val="00C22234"/>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70E2"/>
  <w15:chartTrackingRefBased/>
  <w15:docId w15:val="{BA6E3CA4-81E4-1C4B-A117-FC9C19E1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234"/>
  </w:style>
  <w:style w:type="paragraph" w:styleId="Heading1">
    <w:name w:val="heading 1"/>
    <w:basedOn w:val="Normal"/>
    <w:next w:val="Normal"/>
    <w:link w:val="Heading1Char"/>
    <w:uiPriority w:val="9"/>
    <w:qFormat/>
    <w:rsid w:val="00130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0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0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F1"/>
    <w:rPr>
      <w:rFonts w:eastAsiaTheme="majorEastAsia" w:cstheme="majorBidi"/>
      <w:color w:val="272727" w:themeColor="text1" w:themeTint="D8"/>
    </w:rPr>
  </w:style>
  <w:style w:type="paragraph" w:styleId="Title">
    <w:name w:val="Title"/>
    <w:basedOn w:val="Normal"/>
    <w:next w:val="Normal"/>
    <w:link w:val="TitleChar"/>
    <w:uiPriority w:val="10"/>
    <w:qFormat/>
    <w:rsid w:val="00130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F1"/>
    <w:pPr>
      <w:spacing w:before="160"/>
      <w:jc w:val="center"/>
    </w:pPr>
    <w:rPr>
      <w:i/>
      <w:iCs/>
      <w:color w:val="404040" w:themeColor="text1" w:themeTint="BF"/>
    </w:rPr>
  </w:style>
  <w:style w:type="character" w:customStyle="1" w:styleId="QuoteChar">
    <w:name w:val="Quote Char"/>
    <w:basedOn w:val="DefaultParagraphFont"/>
    <w:link w:val="Quote"/>
    <w:uiPriority w:val="29"/>
    <w:rsid w:val="001305F1"/>
    <w:rPr>
      <w:i/>
      <w:iCs/>
      <w:color w:val="404040" w:themeColor="text1" w:themeTint="BF"/>
    </w:rPr>
  </w:style>
  <w:style w:type="paragraph" w:styleId="ListParagraph">
    <w:name w:val="List Paragraph"/>
    <w:basedOn w:val="Normal"/>
    <w:uiPriority w:val="34"/>
    <w:qFormat/>
    <w:rsid w:val="001305F1"/>
    <w:pPr>
      <w:ind w:left="720"/>
      <w:contextualSpacing/>
    </w:pPr>
  </w:style>
  <w:style w:type="character" w:styleId="IntenseEmphasis">
    <w:name w:val="Intense Emphasis"/>
    <w:basedOn w:val="DefaultParagraphFont"/>
    <w:uiPriority w:val="21"/>
    <w:qFormat/>
    <w:rsid w:val="001305F1"/>
    <w:rPr>
      <w:i/>
      <w:iCs/>
      <w:color w:val="0F4761" w:themeColor="accent1" w:themeShade="BF"/>
    </w:rPr>
  </w:style>
  <w:style w:type="paragraph" w:styleId="IntenseQuote">
    <w:name w:val="Intense Quote"/>
    <w:basedOn w:val="Normal"/>
    <w:next w:val="Normal"/>
    <w:link w:val="IntenseQuoteChar"/>
    <w:uiPriority w:val="30"/>
    <w:qFormat/>
    <w:rsid w:val="00130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F1"/>
    <w:rPr>
      <w:i/>
      <w:iCs/>
      <w:color w:val="0F4761" w:themeColor="accent1" w:themeShade="BF"/>
    </w:rPr>
  </w:style>
  <w:style w:type="character" w:styleId="IntenseReference">
    <w:name w:val="Intense Reference"/>
    <w:basedOn w:val="DefaultParagraphFont"/>
    <w:uiPriority w:val="32"/>
    <w:qFormat/>
    <w:rsid w:val="001305F1"/>
    <w:rPr>
      <w:b/>
      <w:bCs/>
      <w:smallCaps/>
      <w:color w:val="0F4761" w:themeColor="accent1" w:themeShade="BF"/>
      <w:spacing w:val="5"/>
    </w:rPr>
  </w:style>
  <w:style w:type="character" w:styleId="Strong">
    <w:name w:val="Strong"/>
    <w:basedOn w:val="DefaultParagraphFont"/>
    <w:uiPriority w:val="22"/>
    <w:qFormat/>
    <w:rsid w:val="00BA5C74"/>
    <w:rPr>
      <w:b/>
      <w:bCs/>
    </w:rPr>
  </w:style>
  <w:style w:type="character" w:styleId="Emphasis">
    <w:name w:val="Emphasis"/>
    <w:basedOn w:val="DefaultParagraphFont"/>
    <w:uiPriority w:val="20"/>
    <w:qFormat/>
    <w:rsid w:val="00BA5C74"/>
    <w:rPr>
      <w:i/>
      <w:iCs/>
    </w:rPr>
  </w:style>
  <w:style w:type="character" w:styleId="Hyperlink">
    <w:name w:val="Hyperlink"/>
    <w:basedOn w:val="DefaultParagraphFont"/>
    <w:uiPriority w:val="99"/>
    <w:semiHidden/>
    <w:unhideWhenUsed/>
    <w:rsid w:val="00BA5C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porate.arcelormitt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1531</Words>
  <Characters>8733</Characters>
  <Application>Microsoft Office Word</Application>
  <DocSecurity>0</DocSecurity>
  <Lines>72</Lines>
  <Paragraphs>20</Paragraphs>
  <ScaleCrop>false</ScaleCrop>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6</cp:revision>
  <dcterms:created xsi:type="dcterms:W3CDTF">2026-04-05T17:47:00Z</dcterms:created>
  <dcterms:modified xsi:type="dcterms:W3CDTF">2026-05-04T09:27:00Z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2026-05-04T09:27:18Z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f287373a-30a6-4b94-928a-17e1f42265c2</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