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4321" w14:textId="77777777" w:rsidR="009A79EE" w:rsidRPr="009A79EE" w:rsidRDefault="009A79EE" w:rsidP="009A79EE">
      <w:pPr>
        <w:jc w:val="both"/>
        <w:rPr>
          <w:b/>
          <w:bCs/>
          <w:sz w:val="21"/>
          <w:szCs w:val="21"/>
          <w:lang w:eastAsia="en-GB" w:bidi="bn-IN"/>
        </w:rPr>
      </w:pPr>
      <w:r w:rsidRPr="009A79EE">
        <w:rPr>
          <w:b/>
          <w:bCs/>
          <w:sz w:val="21"/>
          <w:szCs w:val="21"/>
          <w:lang w:eastAsia="en-GB" w:bidi="bn-IN"/>
        </w:rPr>
        <w:t>2. Related Work</w:t>
      </w:r>
    </w:p>
    <w:p w14:paraId="3C0B12A5" w14:textId="77777777" w:rsidR="009A79EE" w:rsidRPr="009A79EE" w:rsidRDefault="009A79EE" w:rsidP="009A79EE">
      <w:pPr>
        <w:jc w:val="both"/>
        <w:rPr>
          <w:b/>
          <w:bCs/>
          <w:sz w:val="21"/>
          <w:szCs w:val="21"/>
          <w:lang w:eastAsia="en-GB" w:bidi="bn-IN"/>
        </w:rPr>
      </w:pPr>
      <w:r w:rsidRPr="009A79EE">
        <w:rPr>
          <w:b/>
          <w:bCs/>
          <w:sz w:val="21"/>
          <w:szCs w:val="21"/>
          <w:lang w:eastAsia="en-GB" w:bidi="bn-IN"/>
        </w:rPr>
        <w:t>2.1 Traditional Traceability Systems</w:t>
      </w:r>
    </w:p>
    <w:p w14:paraId="480C10F2" w14:textId="2DB570F4" w:rsidR="009A79EE" w:rsidRPr="009A79EE" w:rsidRDefault="009A79EE" w:rsidP="009A79EE">
      <w:pPr>
        <w:jc w:val="both"/>
        <w:rPr>
          <w:sz w:val="21"/>
          <w:szCs w:val="21"/>
          <w:lang w:eastAsia="en-GB" w:bidi="bn-IN"/>
        </w:rPr>
      </w:pPr>
      <w:r w:rsidRPr="009A79EE">
        <w:rPr>
          <w:sz w:val="21"/>
          <w:szCs w:val="21"/>
          <w:lang w:eastAsia="en-GB" w:bidi="bn-IN"/>
        </w:rPr>
        <w:t>The predominant approach to conflict mineral traceability relies on manual documentation systems, most notably the International Tin Supply Chain Initiative (</w:t>
      </w:r>
      <w:proofErr w:type="spellStart"/>
      <w:r w:rsidRPr="009A79EE">
        <w:rPr>
          <w:sz w:val="21"/>
          <w:szCs w:val="21"/>
          <w:lang w:eastAsia="en-GB" w:bidi="bn-IN"/>
        </w:rPr>
        <w:t>iTSCi</w:t>
      </w:r>
      <w:proofErr w:type="spellEnd"/>
      <w:r w:rsidRPr="009A79EE">
        <w:rPr>
          <w:sz w:val="21"/>
          <w:szCs w:val="21"/>
          <w:lang w:eastAsia="en-GB" w:bidi="bn-IN"/>
        </w:rPr>
        <w:t xml:space="preserve">). Established in 2009 by the International Tin Association, </w:t>
      </w:r>
      <w:proofErr w:type="spellStart"/>
      <w:r w:rsidRPr="009A79EE">
        <w:rPr>
          <w:sz w:val="21"/>
          <w:szCs w:val="21"/>
          <w:lang w:eastAsia="en-GB" w:bidi="bn-IN"/>
        </w:rPr>
        <w:t>iTSCi</w:t>
      </w:r>
      <w:proofErr w:type="spellEnd"/>
      <w:r w:rsidRPr="009A79EE">
        <w:rPr>
          <w:sz w:val="21"/>
          <w:szCs w:val="21"/>
          <w:lang w:eastAsia="en-GB" w:bidi="bn-IN"/>
        </w:rPr>
        <w:t xml:space="preserve"> operates a "bag and tag" system where state agents physically seal bags of ore at mine sites and record transactions in paper </w:t>
      </w:r>
      <w:proofErr w:type="gramStart"/>
      <w:r w:rsidRPr="009A79EE">
        <w:rPr>
          <w:sz w:val="21"/>
          <w:szCs w:val="21"/>
          <w:lang w:eastAsia="en-GB" w:bidi="bn-IN"/>
        </w:rPr>
        <w:t>logbooks .</w:t>
      </w:r>
      <w:proofErr w:type="gramEnd"/>
      <w:r w:rsidRPr="009A79EE">
        <w:rPr>
          <w:sz w:val="21"/>
          <w:szCs w:val="21"/>
          <w:lang w:eastAsia="en-GB" w:bidi="bn-IN"/>
        </w:rPr>
        <w:t xml:space="preserve"> While this scheme aims to lessen the risk of unfounded disengagement from conflict-affected and high-risk areas (CAHRAs), it suffers from significant operational vulnerabilities. The European Parliament's assessment of critical raw materials traceability identifies that </w:t>
      </w:r>
      <w:proofErr w:type="spellStart"/>
      <w:r w:rsidRPr="009A79EE">
        <w:rPr>
          <w:sz w:val="21"/>
          <w:szCs w:val="21"/>
          <w:lang w:eastAsia="en-GB" w:bidi="bn-IN"/>
        </w:rPr>
        <w:t>iTSCi's</w:t>
      </w:r>
      <w:proofErr w:type="spellEnd"/>
      <w:r w:rsidRPr="009A79EE">
        <w:rPr>
          <w:sz w:val="21"/>
          <w:szCs w:val="21"/>
          <w:lang w:eastAsia="en-GB" w:bidi="bn-IN"/>
        </w:rPr>
        <w:t xml:space="preserve"> credibility has been challenged due to the free availability of tags, opportunities for corruption during tagging, and allegations of cross-border mineral laundering where Congolese minerals are fraudulently tagged as Rwandan </w:t>
      </w:r>
      <w:r>
        <w:rPr>
          <w:sz w:val="21"/>
          <w:szCs w:val="21"/>
          <w:lang w:eastAsia="en-GB" w:bidi="bn-IN"/>
        </w:rPr>
        <w:t>production.</w:t>
      </w:r>
      <w:r w:rsidRPr="009A79EE">
        <w:rPr>
          <w:sz w:val="21"/>
          <w:szCs w:val="21"/>
          <w:lang w:eastAsia="en-GB" w:bidi="bn-IN"/>
        </w:rPr>
        <w:t xml:space="preserve"> </w:t>
      </w:r>
    </w:p>
    <w:p w14:paraId="11F2DDF2" w14:textId="24BB1683" w:rsidR="009A79EE" w:rsidRPr="009A79EE" w:rsidRDefault="009A79EE" w:rsidP="009A79EE">
      <w:pPr>
        <w:jc w:val="both"/>
        <w:rPr>
          <w:sz w:val="21"/>
          <w:szCs w:val="21"/>
          <w:lang w:eastAsia="en-GB" w:bidi="bn-IN"/>
        </w:rPr>
      </w:pPr>
    </w:p>
    <w:p w14:paraId="4FC0A76C" w14:textId="7BC9B39E" w:rsidR="009A79EE" w:rsidRPr="009A79EE" w:rsidRDefault="009A79EE" w:rsidP="009A79EE">
      <w:pPr>
        <w:jc w:val="both"/>
        <w:rPr>
          <w:sz w:val="21"/>
          <w:szCs w:val="21"/>
          <w:lang w:eastAsia="en-GB" w:bidi="bn-IN"/>
        </w:rPr>
      </w:pPr>
      <w:r w:rsidRPr="009A79EE">
        <w:rPr>
          <w:sz w:val="21"/>
          <w:szCs w:val="21"/>
          <w:lang w:eastAsia="en-GB" w:bidi="bn-IN"/>
        </w:rPr>
        <w:t xml:space="preserve">Investigative reports and academic analyses further reveal systemic limitations. The system relies heavily on manual data entry, with staff processing approximately 740,000 mine tags annually across the African Great Lakes </w:t>
      </w:r>
      <w:proofErr w:type="gramStart"/>
      <w:r w:rsidRPr="009A79EE">
        <w:rPr>
          <w:sz w:val="21"/>
          <w:szCs w:val="21"/>
          <w:lang w:eastAsia="en-GB" w:bidi="bn-IN"/>
        </w:rPr>
        <w:t>Region .</w:t>
      </w:r>
      <w:proofErr w:type="gramEnd"/>
      <w:r w:rsidRPr="009A79EE">
        <w:rPr>
          <w:sz w:val="21"/>
          <w:szCs w:val="21"/>
          <w:lang w:eastAsia="en-GB" w:bidi="bn-IN"/>
        </w:rPr>
        <w:t xml:space="preserve"> This paper-based approach generates a costly mountain of documentation with room for errors or fraud, as blockchain traceability cannot compensate for unreliable initial data </w:t>
      </w:r>
      <w:proofErr w:type="gramStart"/>
      <w:r w:rsidRPr="009A79EE">
        <w:rPr>
          <w:sz w:val="21"/>
          <w:szCs w:val="21"/>
          <w:lang w:eastAsia="en-GB" w:bidi="bn-IN"/>
        </w:rPr>
        <w:t>input .</w:t>
      </w:r>
      <w:proofErr w:type="gramEnd"/>
      <w:r w:rsidRPr="009A79EE">
        <w:rPr>
          <w:sz w:val="21"/>
          <w:szCs w:val="21"/>
          <w:lang w:eastAsia="en-GB" w:bidi="bn-IN"/>
        </w:rPr>
        <w:t xml:space="preserve"> Furthermore, </w:t>
      </w:r>
      <w:proofErr w:type="spellStart"/>
      <w:r w:rsidRPr="009A79EE">
        <w:rPr>
          <w:sz w:val="21"/>
          <w:szCs w:val="21"/>
          <w:lang w:eastAsia="en-GB" w:bidi="bn-IN"/>
        </w:rPr>
        <w:t>iTSCi</w:t>
      </w:r>
      <w:proofErr w:type="spellEnd"/>
      <w:r w:rsidRPr="009A79EE">
        <w:rPr>
          <w:sz w:val="21"/>
          <w:szCs w:val="21"/>
          <w:lang w:eastAsia="en-GB" w:bidi="bn-IN"/>
        </w:rPr>
        <w:t xml:space="preserve"> levies charged to artisanal miners have been criticized as economically burdensome, effectively asking the world's poorest workers to pay for the right to sell their own resources. The OECD Due Diligence Guidance, while providing a five-step framework for responsible sourcing, does not mandate specific technological solutions, leaving gaps in automated verification and real-time monitoring</w:t>
      </w:r>
      <w:r>
        <w:rPr>
          <w:sz w:val="21"/>
          <w:szCs w:val="21"/>
          <w:lang w:eastAsia="en-GB" w:bidi="bn-IN"/>
        </w:rPr>
        <w:t xml:space="preserve">. </w:t>
      </w:r>
      <w:r w:rsidRPr="009A79EE">
        <w:rPr>
          <w:sz w:val="21"/>
          <w:szCs w:val="21"/>
          <w:lang w:eastAsia="en-GB" w:bidi="bn-IN"/>
        </w:rPr>
        <w:t xml:space="preserve">Alternative geochemical verification methods, such as the German Federal Institute for Geosciences and Natural Resources (BGR) Analytical Fingerprinting (AFP) tool, serve only as optional forensic instruments for dispute resolution rather than continuous traceability mechanisms. These </w:t>
      </w:r>
      <w:r>
        <w:rPr>
          <w:sz w:val="21"/>
          <w:szCs w:val="21"/>
          <w:lang w:eastAsia="en-GB" w:bidi="bn-IN"/>
        </w:rPr>
        <w:t xml:space="preserve">limitations – </w:t>
      </w:r>
      <w:r w:rsidRPr="009A79EE">
        <w:rPr>
          <w:sz w:val="21"/>
          <w:szCs w:val="21"/>
          <w:lang w:eastAsia="en-GB" w:bidi="bn-IN"/>
        </w:rPr>
        <w:t xml:space="preserve">centralized data management, manual processing, lack of privacy preservation, and absence of automated reacquisition </w:t>
      </w:r>
      <w:r>
        <w:rPr>
          <w:sz w:val="21"/>
          <w:szCs w:val="21"/>
          <w:lang w:eastAsia="en-GB" w:bidi="bn-IN"/>
        </w:rPr>
        <w:t>protocols – create</w:t>
      </w:r>
      <w:r w:rsidRPr="009A79EE">
        <w:rPr>
          <w:sz w:val="21"/>
          <w:szCs w:val="21"/>
          <w:lang w:eastAsia="en-GB" w:bidi="bn-IN"/>
        </w:rPr>
        <w:t xml:space="preserve"> the imperative for blockchain-based alternatives.</w:t>
      </w:r>
    </w:p>
    <w:p w14:paraId="2CE3AF81" w14:textId="77777777" w:rsidR="009A79EE" w:rsidRPr="009A79EE" w:rsidRDefault="009A79EE" w:rsidP="009A79EE">
      <w:pPr>
        <w:jc w:val="both"/>
        <w:rPr>
          <w:b/>
          <w:bCs/>
          <w:sz w:val="21"/>
          <w:szCs w:val="21"/>
          <w:lang w:eastAsia="en-GB" w:bidi="bn-IN"/>
        </w:rPr>
      </w:pPr>
      <w:r w:rsidRPr="009A79EE">
        <w:rPr>
          <w:b/>
          <w:bCs/>
          <w:sz w:val="21"/>
          <w:szCs w:val="21"/>
          <w:lang w:eastAsia="en-GB" w:bidi="bn-IN"/>
        </w:rPr>
        <w:t>2.2 Blockchain-Based Mineral Traceability Systems</w:t>
      </w:r>
    </w:p>
    <w:p w14:paraId="1D84B206" w14:textId="00BA7ABE" w:rsidR="009A79EE" w:rsidRDefault="009A79EE" w:rsidP="009A79EE">
      <w:pPr>
        <w:jc w:val="both"/>
        <w:rPr>
          <w:sz w:val="21"/>
          <w:szCs w:val="21"/>
          <w:lang w:eastAsia="en-GB" w:bidi="bn-IN"/>
        </w:rPr>
      </w:pPr>
      <w:r w:rsidRPr="009A79EE">
        <w:rPr>
          <w:sz w:val="21"/>
          <w:szCs w:val="21"/>
          <w:lang w:eastAsia="en-GB" w:bidi="bn-IN"/>
        </w:rPr>
        <w:t xml:space="preserve">Recent scholarship has explored blockchain implementations to address the transparency and efficiency limitations of traditional traceability schemes. </w:t>
      </w:r>
      <w:proofErr w:type="spellStart"/>
      <w:r w:rsidRPr="009A79EE">
        <w:rPr>
          <w:sz w:val="21"/>
          <w:szCs w:val="21"/>
          <w:lang w:eastAsia="en-GB" w:bidi="bn-IN"/>
        </w:rPr>
        <w:t>Minespider</w:t>
      </w:r>
      <w:proofErr w:type="spellEnd"/>
      <w:r w:rsidRPr="009A79EE">
        <w:rPr>
          <w:sz w:val="21"/>
          <w:szCs w:val="21"/>
          <w:lang w:eastAsia="en-GB" w:bidi="bn-IN"/>
        </w:rPr>
        <w:t xml:space="preserve">, a Berlin-based startup, has developed a blockchain protocol using hierarchical "Russian nesting doll" data structures that include private layers of invoices and chain-of-custody documents visible only to specific supply chain </w:t>
      </w:r>
      <w:proofErr w:type="spellStart"/>
      <w:r w:rsidRPr="009A79EE">
        <w:rPr>
          <w:sz w:val="21"/>
          <w:szCs w:val="21"/>
          <w:lang w:eastAsia="en-GB" w:bidi="bn-IN"/>
        </w:rPr>
        <w:t>participants.Their</w:t>
      </w:r>
      <w:proofErr w:type="spellEnd"/>
      <w:r w:rsidRPr="009A79EE">
        <w:rPr>
          <w:sz w:val="21"/>
          <w:szCs w:val="21"/>
          <w:lang w:eastAsia="en-GB" w:bidi="bn-IN"/>
        </w:rPr>
        <w:t xml:space="preserve"> </w:t>
      </w:r>
      <w:proofErr w:type="spellStart"/>
      <w:r w:rsidRPr="009A79EE">
        <w:rPr>
          <w:sz w:val="21"/>
          <w:szCs w:val="21"/>
          <w:lang w:eastAsia="en-GB" w:bidi="bn-IN"/>
        </w:rPr>
        <w:t>OreSource</w:t>
      </w:r>
      <w:proofErr w:type="spellEnd"/>
      <w:r w:rsidRPr="009A79EE">
        <w:rPr>
          <w:sz w:val="21"/>
          <w:szCs w:val="21"/>
          <w:lang w:eastAsia="en-GB" w:bidi="bn-IN"/>
        </w:rPr>
        <w:t xml:space="preserve"> tool, deployed in partnership with </w:t>
      </w:r>
      <w:proofErr w:type="spellStart"/>
      <w:r w:rsidRPr="009A79EE">
        <w:rPr>
          <w:sz w:val="21"/>
          <w:szCs w:val="21"/>
          <w:lang w:eastAsia="en-GB" w:bidi="bn-IN"/>
        </w:rPr>
        <w:t>LuNa</w:t>
      </w:r>
      <w:proofErr w:type="spellEnd"/>
      <w:r w:rsidRPr="009A79EE">
        <w:rPr>
          <w:sz w:val="21"/>
          <w:szCs w:val="21"/>
          <w:lang w:eastAsia="en-GB" w:bidi="bn-IN"/>
        </w:rPr>
        <w:t xml:space="preserve"> Smelter in Rwanda and supported by Google and the Responsible Minerals Initiative (RMI), demonstrates practical interoperability through QR code tracking from mine to manufacturer . However, this system stores sensitive commercial data in plaintext form accessible to authorized parties, failing to provide cryptographic privacy guarantees for mine locations or supplier </w:t>
      </w:r>
      <w:proofErr w:type="spellStart"/>
      <w:proofErr w:type="gramStart"/>
      <w:r w:rsidRPr="009A79EE">
        <w:rPr>
          <w:sz w:val="21"/>
          <w:szCs w:val="21"/>
          <w:lang w:eastAsia="en-GB" w:bidi="bn-IN"/>
        </w:rPr>
        <w:t>identities.Circulor</w:t>
      </w:r>
      <w:proofErr w:type="spellEnd"/>
      <w:proofErr w:type="gramEnd"/>
      <w:r w:rsidRPr="009A79EE">
        <w:rPr>
          <w:sz w:val="21"/>
          <w:szCs w:val="21"/>
          <w:lang w:eastAsia="en-GB" w:bidi="bn-IN"/>
        </w:rPr>
        <w:t xml:space="preserve"> achieves mine-to-manufacturer traceability using Hyperledger Fabric for tantalum and other battery materials, partnering with Ford, Volvo, and Mercedes.</w:t>
      </w:r>
    </w:p>
    <w:p w14:paraId="62A74AC7" w14:textId="06AE4B3A" w:rsidR="009A79EE" w:rsidRPr="009A79EE" w:rsidRDefault="009A79EE" w:rsidP="009A79EE">
      <w:pPr>
        <w:jc w:val="both"/>
        <w:rPr>
          <w:sz w:val="21"/>
          <w:szCs w:val="21"/>
          <w:lang w:eastAsia="en-GB" w:bidi="bn-IN"/>
        </w:rPr>
      </w:pPr>
      <w:r w:rsidRPr="009A79EE">
        <w:rPr>
          <w:sz w:val="21"/>
          <w:szCs w:val="21"/>
          <w:lang w:eastAsia="en-GB" w:bidi="bn-IN"/>
        </w:rPr>
        <w:t xml:space="preserve">Their implementation combines GPS tracking, RFID tags, and smartphone-based scanning to verify material </w:t>
      </w:r>
      <w:proofErr w:type="gramStart"/>
      <w:r w:rsidRPr="009A79EE">
        <w:rPr>
          <w:sz w:val="21"/>
          <w:szCs w:val="21"/>
          <w:lang w:eastAsia="en-GB" w:bidi="bn-IN"/>
        </w:rPr>
        <w:t>movements .</w:t>
      </w:r>
      <w:proofErr w:type="gramEnd"/>
      <w:r w:rsidRPr="009A79EE">
        <w:rPr>
          <w:sz w:val="21"/>
          <w:szCs w:val="21"/>
          <w:lang w:eastAsia="en-GB" w:bidi="bn-IN"/>
        </w:rPr>
        <w:t xml:space="preserve"> While </w:t>
      </w:r>
      <w:proofErr w:type="spellStart"/>
      <w:r w:rsidRPr="009A79EE">
        <w:rPr>
          <w:sz w:val="21"/>
          <w:szCs w:val="21"/>
          <w:lang w:eastAsia="en-GB" w:bidi="bn-IN"/>
        </w:rPr>
        <w:t>Circulor</w:t>
      </w:r>
      <w:proofErr w:type="spellEnd"/>
      <w:r w:rsidRPr="009A79EE">
        <w:rPr>
          <w:sz w:val="21"/>
          <w:szCs w:val="21"/>
          <w:lang w:eastAsia="en-GB" w:bidi="bn-IN"/>
        </w:rPr>
        <w:t xml:space="preserve"> addresses data immutability, it similarly lacks zero-knowledge capabilities, requiring full disclosure of transactional details to verify provenance. The Responsible Sourcing Blockchain Network (RSBN), a collaboration between IBM, Ford, Volkswagen, LG Chem, and </w:t>
      </w:r>
      <w:proofErr w:type="spellStart"/>
      <w:r w:rsidRPr="009A79EE">
        <w:rPr>
          <w:sz w:val="21"/>
          <w:szCs w:val="21"/>
          <w:lang w:eastAsia="en-GB" w:bidi="bn-IN"/>
        </w:rPr>
        <w:t>Huayou</w:t>
      </w:r>
      <w:proofErr w:type="spellEnd"/>
      <w:r w:rsidRPr="009A79EE">
        <w:rPr>
          <w:sz w:val="21"/>
          <w:szCs w:val="21"/>
          <w:lang w:eastAsia="en-GB" w:bidi="bn-IN"/>
        </w:rPr>
        <w:t xml:space="preserve"> Cobalt, provides an open industry-wide platform for tracing 3TG minerals but focuses </w:t>
      </w:r>
      <w:r w:rsidRPr="009A79EE">
        <w:rPr>
          <w:sz w:val="21"/>
          <w:szCs w:val="21"/>
          <w:lang w:eastAsia="en-GB" w:bidi="bn-IN"/>
        </w:rPr>
        <w:lastRenderedPageBreak/>
        <w:t xml:space="preserve">primarily on large-scale mining operations with limited accommodation for artisanal and small-scale mining (ASM) privacy </w:t>
      </w:r>
      <w:proofErr w:type="gramStart"/>
      <w:r w:rsidRPr="009A79EE">
        <w:rPr>
          <w:sz w:val="21"/>
          <w:szCs w:val="21"/>
          <w:lang w:eastAsia="en-GB" w:bidi="bn-IN"/>
        </w:rPr>
        <w:t>requirements .Academic</w:t>
      </w:r>
      <w:proofErr w:type="gramEnd"/>
      <w:r w:rsidRPr="009A79EE">
        <w:rPr>
          <w:sz w:val="21"/>
          <w:szCs w:val="21"/>
          <w:lang w:eastAsia="en-GB" w:bidi="bn-IN"/>
        </w:rPr>
        <w:t xml:space="preserve"> evaluations of these systems identify persistent gaps. Karaduman and </w:t>
      </w:r>
      <w:proofErr w:type="spellStart"/>
      <w:r w:rsidRPr="009A79EE">
        <w:rPr>
          <w:sz w:val="21"/>
          <w:szCs w:val="21"/>
          <w:lang w:eastAsia="en-GB" w:bidi="bn-IN"/>
        </w:rPr>
        <w:t>Gülhas</w:t>
      </w:r>
      <w:proofErr w:type="spellEnd"/>
      <w:r w:rsidRPr="009A79EE">
        <w:rPr>
          <w:sz w:val="21"/>
          <w:szCs w:val="21"/>
          <w:lang w:eastAsia="en-GB" w:bidi="bn-IN"/>
        </w:rPr>
        <w:t xml:space="preserve"> (2025) note that while blockchain enhances security and traceability, existing implementations in mineral supply chains reveal weaknesses in data privacy, with transparent ledgers exposing sensitive supplier information and pricing </w:t>
      </w:r>
      <w:proofErr w:type="gramStart"/>
      <w:r w:rsidRPr="009A79EE">
        <w:rPr>
          <w:sz w:val="21"/>
          <w:szCs w:val="21"/>
          <w:lang w:eastAsia="en-GB" w:bidi="bn-IN"/>
        </w:rPr>
        <w:t>strategies .</w:t>
      </w:r>
      <w:proofErr w:type="gramEnd"/>
      <w:r w:rsidRPr="009A79EE">
        <w:rPr>
          <w:sz w:val="21"/>
          <w:szCs w:val="21"/>
          <w:lang w:eastAsia="en-GB" w:bidi="bn-IN"/>
        </w:rPr>
        <w:t xml:space="preserve"> Furthermore, these systems lack automated mechanisms for handling product returns or batch rejections, requiring manual intervention for reacquisition </w:t>
      </w:r>
      <w:proofErr w:type="gramStart"/>
      <w:r w:rsidRPr="009A79EE">
        <w:rPr>
          <w:sz w:val="21"/>
          <w:szCs w:val="21"/>
          <w:lang w:eastAsia="en-GB" w:bidi="bn-IN"/>
        </w:rPr>
        <w:t>validation .</w:t>
      </w:r>
      <w:proofErr w:type="gramEnd"/>
    </w:p>
    <w:p w14:paraId="46ECB0E6" w14:textId="77777777" w:rsidR="009A79EE" w:rsidRPr="009A79EE" w:rsidRDefault="009A79EE" w:rsidP="009A79EE">
      <w:pPr>
        <w:rPr>
          <w:b/>
          <w:bCs/>
          <w:sz w:val="21"/>
          <w:szCs w:val="21"/>
          <w:lang w:eastAsia="en-GB" w:bidi="bn-IN"/>
        </w:rPr>
      </w:pPr>
      <w:r w:rsidRPr="009A79EE">
        <w:rPr>
          <w:b/>
          <w:bCs/>
          <w:sz w:val="21"/>
          <w:szCs w:val="21"/>
          <w:lang w:eastAsia="en-GB" w:bidi="bn-IN"/>
        </w:rPr>
        <w:t>2.3 Zero-Knowledge Proofs in Supply Chain Applications</w:t>
      </w:r>
    </w:p>
    <w:p w14:paraId="3339AF8A" w14:textId="5F076A9C" w:rsidR="009A79EE" w:rsidRPr="009A79EE" w:rsidRDefault="009A79EE" w:rsidP="009A79EE">
      <w:pPr>
        <w:jc w:val="both"/>
        <w:rPr>
          <w:sz w:val="21"/>
          <w:szCs w:val="21"/>
          <w:lang w:eastAsia="en-GB" w:bidi="bn-IN"/>
        </w:rPr>
      </w:pPr>
      <w:r w:rsidRPr="009A79EE">
        <w:rPr>
          <w:sz w:val="21"/>
          <w:szCs w:val="21"/>
          <w:lang w:eastAsia="en-GB" w:bidi="bn-IN"/>
        </w:rPr>
        <w:t xml:space="preserve">Zero-knowledge proof (ZKP) protocols have emerged as cryptographic solutions to the transparency-privacy paradox in decentralized systems. In healthcare supply chains, ZK-SNARKs (Succinct Non-Interactive Arguments of Knowledge) enable privacy-preserving access control, allowing doctors to prove authorization credentials without revealing identities or institutional </w:t>
      </w:r>
      <w:proofErr w:type="gramStart"/>
      <w:r w:rsidRPr="009A79EE">
        <w:rPr>
          <w:sz w:val="21"/>
          <w:szCs w:val="21"/>
          <w:lang w:eastAsia="en-GB" w:bidi="bn-IN"/>
        </w:rPr>
        <w:t>affiliations .</w:t>
      </w:r>
      <w:proofErr w:type="gramEnd"/>
      <w:r w:rsidRPr="009A79EE">
        <w:rPr>
          <w:sz w:val="21"/>
          <w:szCs w:val="21"/>
          <w:lang w:eastAsia="en-GB" w:bidi="bn-IN"/>
        </w:rPr>
        <w:t xml:space="preserve"> Similarly, pharmaceutical applications utilize ZKPs to verify drug authenticity and insurance eligibility without exposing proprietary formulation data or patient medical histories</w:t>
      </w:r>
      <w:r>
        <w:rPr>
          <w:sz w:val="21"/>
          <w:szCs w:val="21"/>
          <w:lang w:eastAsia="en-GB" w:bidi="bn-IN"/>
        </w:rPr>
        <w:t xml:space="preserve">. </w:t>
      </w:r>
      <w:r w:rsidRPr="009A79EE">
        <w:rPr>
          <w:sz w:val="21"/>
          <w:szCs w:val="21"/>
          <w:lang w:eastAsia="en-GB" w:bidi="bn-IN"/>
        </w:rPr>
        <w:t xml:space="preserve">In financial supply chains, ZKPs facilitate confidential transactions while maintaining regulatory compliance. Recent implementations demonstrate transaction verification times of approximately 0.48 seconds with proof sizes of 1.3 KB, achieving 95% privacy preservation compared to 40% in traditional transparent blockchain </w:t>
      </w:r>
      <w:proofErr w:type="gramStart"/>
      <w:r w:rsidRPr="009A79EE">
        <w:rPr>
          <w:sz w:val="21"/>
          <w:szCs w:val="21"/>
          <w:lang w:eastAsia="en-GB" w:bidi="bn-IN"/>
        </w:rPr>
        <w:t>systems .</w:t>
      </w:r>
      <w:proofErr w:type="gramEnd"/>
      <w:r w:rsidRPr="009A79EE">
        <w:rPr>
          <w:sz w:val="21"/>
          <w:szCs w:val="21"/>
          <w:lang w:eastAsia="en-GB" w:bidi="bn-IN"/>
        </w:rPr>
        <w:t xml:space="preserve"> Multi-party computation (MPC) alternatives allow private computations but lack the efficient verification mechanisms provided by ZKPs.</w:t>
      </w:r>
    </w:p>
    <w:p w14:paraId="4D3C0743" w14:textId="05FF27FD" w:rsidR="009A79EE" w:rsidRPr="009A79EE" w:rsidRDefault="009A79EE" w:rsidP="009A79EE">
      <w:pPr>
        <w:jc w:val="both"/>
        <w:rPr>
          <w:sz w:val="21"/>
          <w:szCs w:val="21"/>
          <w:lang w:eastAsia="en-GB" w:bidi="bn-IN"/>
        </w:rPr>
      </w:pPr>
      <w:r w:rsidRPr="009A79EE">
        <w:rPr>
          <w:sz w:val="21"/>
          <w:szCs w:val="21"/>
          <w:lang w:eastAsia="en-GB" w:bidi="bn-IN"/>
        </w:rPr>
        <w:t xml:space="preserve">However, applications specifically targeting mineral and commodity supply chains remain severely limited. While Sahai et al. (2020) proposed blockchain and ZKP integration for general supply chain traceability, their framework does not address the specific requirements of conflict mineral verification, geographic privacy for mine locations, or automated reacquisition </w:t>
      </w:r>
      <w:proofErr w:type="gramStart"/>
      <w:r w:rsidRPr="009A79EE">
        <w:rPr>
          <w:sz w:val="21"/>
          <w:szCs w:val="21"/>
          <w:lang w:eastAsia="en-GB" w:bidi="bn-IN"/>
        </w:rPr>
        <w:t>protocols .</w:t>
      </w:r>
      <w:proofErr w:type="gramEnd"/>
      <w:r w:rsidRPr="009A79EE">
        <w:rPr>
          <w:sz w:val="21"/>
          <w:szCs w:val="21"/>
          <w:lang w:eastAsia="en-GB" w:bidi="bn-IN"/>
        </w:rPr>
        <w:t xml:space="preserve"> Similarly, Rani et al. (2025) developed BT-CSRS for seafood supply chains using ZKPs, but this application focuses on temperature compliance rather than the geographic and ethical certification requirements unique to mineral </w:t>
      </w:r>
      <w:proofErr w:type="gramStart"/>
      <w:r w:rsidRPr="009A79EE">
        <w:rPr>
          <w:sz w:val="21"/>
          <w:szCs w:val="21"/>
          <w:lang w:eastAsia="en-GB" w:bidi="bn-IN"/>
        </w:rPr>
        <w:t>sourcing .</w:t>
      </w:r>
      <w:proofErr w:type="gramEnd"/>
      <w:r w:rsidRPr="009A79EE">
        <w:rPr>
          <w:sz w:val="21"/>
          <w:szCs w:val="21"/>
          <w:lang w:eastAsia="en-GB" w:bidi="bn-IN"/>
        </w:rPr>
        <w:t xml:space="preserve"> The absence of ZKP implementations in 3TG mineral traceability represents a significant research gap, as existing blockchain mineral systems rely on permissioned access controls rather than cryptographic privacy guarantees.</w:t>
      </w:r>
    </w:p>
    <w:p w14:paraId="12EF80B7" w14:textId="77777777" w:rsidR="009A79EE" w:rsidRPr="009A79EE" w:rsidRDefault="009A79EE" w:rsidP="009A79EE">
      <w:pPr>
        <w:rPr>
          <w:b/>
          <w:bCs/>
          <w:sz w:val="21"/>
          <w:szCs w:val="21"/>
          <w:lang w:eastAsia="en-GB" w:bidi="bn-IN"/>
        </w:rPr>
      </w:pPr>
      <w:r w:rsidRPr="009A79EE">
        <w:rPr>
          <w:b/>
          <w:bCs/>
          <w:sz w:val="21"/>
          <w:szCs w:val="21"/>
          <w:lang w:eastAsia="en-GB" w:bidi="bn-IN"/>
        </w:rPr>
        <w:t>2.4 Research Gap Summary</w:t>
      </w:r>
    </w:p>
    <w:p w14:paraId="0929AB20" w14:textId="77777777" w:rsidR="009A79EE" w:rsidRPr="009A79EE" w:rsidRDefault="009A79EE" w:rsidP="009A79EE">
      <w:pPr>
        <w:rPr>
          <w:sz w:val="21"/>
          <w:szCs w:val="21"/>
          <w:lang w:eastAsia="en-GB" w:bidi="bn-IN"/>
        </w:rPr>
      </w:pPr>
      <w:r w:rsidRPr="009A79EE">
        <w:rPr>
          <w:sz w:val="21"/>
          <w:szCs w:val="21"/>
          <w:lang w:eastAsia="en-GB" w:bidi="bn-IN"/>
        </w:rPr>
        <w:t>Analysis of existing literature and industry implementations reveals four critical gaps in conflict mineral traceability systems:</w:t>
      </w:r>
    </w:p>
    <w:p w14:paraId="1E969869" w14:textId="77777777" w:rsidR="009A79EE" w:rsidRPr="009A79EE" w:rsidRDefault="009A79EE" w:rsidP="009A79EE">
      <w:pPr>
        <w:rPr>
          <w:sz w:val="21"/>
          <w:szCs w:val="21"/>
          <w:lang w:eastAsia="en-GB" w:bidi="bn-IN"/>
        </w:rPr>
      </w:pPr>
      <w:r w:rsidRPr="009A79EE">
        <w:rPr>
          <w:sz w:val="21"/>
          <w:szCs w:val="21"/>
          <w:lang w:eastAsia="en-GB" w:bidi="bn-IN"/>
        </w:rPr>
        <w:t>Privacy-Preserving Verification: Current blockchain solutions (</w:t>
      </w:r>
      <w:proofErr w:type="spellStart"/>
      <w:r w:rsidRPr="009A79EE">
        <w:rPr>
          <w:sz w:val="21"/>
          <w:szCs w:val="21"/>
          <w:lang w:eastAsia="en-GB" w:bidi="bn-IN"/>
        </w:rPr>
        <w:t>Minespider</w:t>
      </w:r>
      <w:proofErr w:type="spellEnd"/>
      <w:r w:rsidRPr="009A79EE">
        <w:rPr>
          <w:sz w:val="21"/>
          <w:szCs w:val="21"/>
          <w:lang w:eastAsia="en-GB" w:bidi="bn-IN"/>
        </w:rPr>
        <w:t xml:space="preserve">, </w:t>
      </w:r>
      <w:proofErr w:type="spellStart"/>
      <w:r w:rsidRPr="009A79EE">
        <w:rPr>
          <w:sz w:val="21"/>
          <w:szCs w:val="21"/>
          <w:lang w:eastAsia="en-GB" w:bidi="bn-IN"/>
        </w:rPr>
        <w:t>Circulor</w:t>
      </w:r>
      <w:proofErr w:type="spellEnd"/>
      <w:r w:rsidRPr="009A79EE">
        <w:rPr>
          <w:sz w:val="21"/>
          <w:szCs w:val="21"/>
          <w:lang w:eastAsia="en-GB" w:bidi="bn-IN"/>
        </w:rPr>
        <w:t>, RSBN) provide transparency but expose sensitive commercial data. While ZKPs have been successfully deployed in healthcare and finance, no existing system applies these cryptographic techniques to prove conflict-free mineral sourcing without revealing exact mine coordinates or supplier identities.</w:t>
      </w:r>
    </w:p>
    <w:p w14:paraId="1261A6F3" w14:textId="77777777" w:rsidR="009A79EE" w:rsidRPr="009A79EE" w:rsidRDefault="009A79EE" w:rsidP="009A79EE">
      <w:pPr>
        <w:rPr>
          <w:sz w:val="21"/>
          <w:szCs w:val="21"/>
          <w:lang w:eastAsia="en-GB" w:bidi="bn-IN"/>
        </w:rPr>
      </w:pPr>
      <w:r w:rsidRPr="009A79EE">
        <w:rPr>
          <w:sz w:val="21"/>
          <w:szCs w:val="21"/>
          <w:lang w:eastAsia="en-GB" w:bidi="bn-IN"/>
        </w:rPr>
        <w:t xml:space="preserve">Automated Reacquisition Mechanisms: Existing mineral traceability systems lack smart contract protocols for automated validation of returned or rejected batches. Research in reverse logistics demonstrates the necessity of blockchain for efficient returns processing and fraud prevention </w:t>
      </w:r>
    </w:p>
    <w:p w14:paraId="474E7199" w14:textId="77777777" w:rsidR="009A79EE" w:rsidRPr="009A79EE" w:rsidRDefault="009A79EE" w:rsidP="009A79EE">
      <w:pPr>
        <w:rPr>
          <w:sz w:val="21"/>
          <w:szCs w:val="21"/>
          <w:lang w:eastAsia="en-GB" w:bidi="bn-IN"/>
        </w:rPr>
      </w:pPr>
      <w:r w:rsidRPr="009A79EE">
        <w:rPr>
          <w:sz w:val="21"/>
          <w:szCs w:val="21"/>
          <w:lang w:eastAsia="en-GB" w:bidi="bn-IN"/>
        </w:rPr>
        <w:t>, yet no mineral-specific framework integrates zero-knowledge verification with automated reacquisition decisions.</w:t>
      </w:r>
    </w:p>
    <w:p w14:paraId="2768D2B3" w14:textId="77777777" w:rsidR="009A79EE" w:rsidRPr="009A79EE" w:rsidRDefault="009A79EE" w:rsidP="009A79EE">
      <w:pPr>
        <w:rPr>
          <w:sz w:val="21"/>
          <w:szCs w:val="21"/>
          <w:lang w:eastAsia="en-GB" w:bidi="bn-IN"/>
        </w:rPr>
      </w:pPr>
      <w:r w:rsidRPr="009A79EE">
        <w:rPr>
          <w:sz w:val="21"/>
          <w:szCs w:val="21"/>
          <w:lang w:eastAsia="en-GB" w:bidi="bn-IN"/>
        </w:rPr>
        <w:t xml:space="preserve">End-to-End ZKP Integration: Academic studies have explored ZKPs for general supply chain traceability </w:t>
      </w:r>
    </w:p>
    <w:p w14:paraId="45739520" w14:textId="3AE86897" w:rsidR="009A79EE" w:rsidRPr="009A79EE" w:rsidRDefault="009A79EE" w:rsidP="009A79EE">
      <w:pPr>
        <w:jc w:val="both"/>
        <w:rPr>
          <w:sz w:val="21"/>
          <w:szCs w:val="21"/>
          <w:lang w:eastAsia="en-GB" w:bidi="bn-IN"/>
        </w:rPr>
      </w:pPr>
      <w:r w:rsidRPr="009A79EE">
        <w:rPr>
          <w:sz w:val="21"/>
          <w:szCs w:val="21"/>
          <w:lang w:eastAsia="en-GB" w:bidi="bn-IN"/>
        </w:rPr>
        <w:lastRenderedPageBreak/>
        <w:t xml:space="preserve">and seafood </w:t>
      </w:r>
      <w:proofErr w:type="gramStart"/>
      <w:r w:rsidRPr="009A79EE">
        <w:rPr>
          <w:sz w:val="21"/>
          <w:szCs w:val="21"/>
          <w:lang w:eastAsia="en-GB" w:bidi="bn-IN"/>
        </w:rPr>
        <w:t>provenance ,</w:t>
      </w:r>
      <w:proofErr w:type="gramEnd"/>
      <w:r w:rsidRPr="009A79EE">
        <w:rPr>
          <w:sz w:val="21"/>
          <w:szCs w:val="21"/>
          <w:lang w:eastAsia="en-GB" w:bidi="bn-IN"/>
        </w:rPr>
        <w:t xml:space="preserve"> but the specific requirements of mineral supply chains—particularly the need for geographic region verification without precise GPS disclosure and multi-tier certification chain validation—remain </w:t>
      </w:r>
      <w:proofErr w:type="spellStart"/>
      <w:proofErr w:type="gramStart"/>
      <w:r w:rsidRPr="009A79EE">
        <w:rPr>
          <w:sz w:val="21"/>
          <w:szCs w:val="21"/>
          <w:lang w:eastAsia="en-GB" w:bidi="bn-IN"/>
        </w:rPr>
        <w:t>unaddressed.Scalability</w:t>
      </w:r>
      <w:proofErr w:type="spellEnd"/>
      <w:proofErr w:type="gramEnd"/>
      <w:r w:rsidRPr="009A79EE">
        <w:rPr>
          <w:sz w:val="21"/>
          <w:szCs w:val="21"/>
          <w:lang w:eastAsia="en-GB" w:bidi="bn-IN"/>
        </w:rPr>
        <w:t xml:space="preserve"> with Privacy: Permissioned blockchains offer scalability for supply </w:t>
      </w:r>
      <w:proofErr w:type="gramStart"/>
      <w:r w:rsidRPr="009A79EE">
        <w:rPr>
          <w:sz w:val="21"/>
          <w:szCs w:val="21"/>
          <w:lang w:eastAsia="en-GB" w:bidi="bn-IN"/>
        </w:rPr>
        <w:t>chains ,</w:t>
      </w:r>
      <w:proofErr w:type="gramEnd"/>
      <w:r w:rsidRPr="009A79EE">
        <w:rPr>
          <w:sz w:val="21"/>
          <w:szCs w:val="21"/>
          <w:lang w:eastAsia="en-GB" w:bidi="bn-IN"/>
        </w:rPr>
        <w:t xml:space="preserve"> but sacrifice the decentralization and privacy features necessary for </w:t>
      </w:r>
      <w:proofErr w:type="spellStart"/>
      <w:r w:rsidRPr="009A79EE">
        <w:rPr>
          <w:sz w:val="21"/>
          <w:szCs w:val="21"/>
          <w:lang w:eastAsia="en-GB" w:bidi="bn-IN"/>
        </w:rPr>
        <w:t>trustless</w:t>
      </w:r>
      <w:proofErr w:type="spellEnd"/>
      <w:r w:rsidRPr="009A79EE">
        <w:rPr>
          <w:sz w:val="21"/>
          <w:szCs w:val="21"/>
          <w:lang w:eastAsia="en-GB" w:bidi="bn-IN"/>
        </w:rPr>
        <w:t xml:space="preserve"> mineral verification. Public blockchain ZKP implementations face computational overhead challenges that have not been optimized for resource-constrained mining environments.</w:t>
      </w:r>
    </w:p>
    <w:tbl>
      <w:tblPr>
        <w:tblStyle w:val="TableGrid"/>
        <w:tblW w:w="10309" w:type="dxa"/>
        <w:tblLayout w:type="fixed"/>
        <w:tblLook w:val="04A0" w:firstRow="1" w:lastRow="0" w:firstColumn="1" w:lastColumn="0" w:noHBand="0" w:noVBand="1"/>
      </w:tblPr>
      <w:tblGrid>
        <w:gridCol w:w="1241"/>
        <w:gridCol w:w="1275"/>
        <w:gridCol w:w="1020"/>
        <w:gridCol w:w="1378"/>
        <w:gridCol w:w="1237"/>
        <w:gridCol w:w="1272"/>
        <w:gridCol w:w="1433"/>
        <w:gridCol w:w="1453"/>
      </w:tblGrid>
      <w:tr w:rsidR="009A79EE" w:rsidRPr="009A79EE" w14:paraId="28F45A48" w14:textId="77777777" w:rsidTr="00DE20ED">
        <w:tc>
          <w:tcPr>
            <w:tcW w:w="1241" w:type="dxa"/>
            <w:hideMark/>
          </w:tcPr>
          <w:p w14:paraId="76C55422" w14:textId="77777777" w:rsidR="009A79EE" w:rsidRPr="009A79EE" w:rsidRDefault="009A79EE" w:rsidP="009A79EE">
            <w:pPr>
              <w:rPr>
                <w:sz w:val="21"/>
                <w:szCs w:val="21"/>
                <w:lang w:eastAsia="en-GB" w:bidi="bn-IN"/>
              </w:rPr>
            </w:pPr>
            <w:r w:rsidRPr="009A79EE">
              <w:rPr>
                <w:sz w:val="21"/>
                <w:szCs w:val="21"/>
                <w:lang w:eastAsia="en-GB" w:bidi="bn-IN"/>
              </w:rPr>
              <w:t>Approach / study</w:t>
            </w:r>
          </w:p>
        </w:tc>
        <w:tc>
          <w:tcPr>
            <w:tcW w:w="1275" w:type="dxa"/>
            <w:hideMark/>
          </w:tcPr>
          <w:p w14:paraId="0B3992BE" w14:textId="77777777" w:rsidR="009A79EE" w:rsidRPr="009A79EE" w:rsidRDefault="009A79EE" w:rsidP="009A79EE">
            <w:pPr>
              <w:rPr>
                <w:sz w:val="21"/>
                <w:szCs w:val="21"/>
                <w:lang w:eastAsia="en-GB" w:bidi="bn-IN"/>
              </w:rPr>
            </w:pPr>
            <w:proofErr w:type="gramStart"/>
            <w:r w:rsidRPr="009A79EE">
              <w:rPr>
                <w:sz w:val="21"/>
                <w:szCs w:val="21"/>
                <w:lang w:eastAsia="en-GB" w:bidi="bn-IN"/>
              </w:rPr>
              <w:t>Main focus</w:t>
            </w:r>
            <w:proofErr w:type="gramEnd"/>
          </w:p>
        </w:tc>
        <w:tc>
          <w:tcPr>
            <w:tcW w:w="1020" w:type="dxa"/>
            <w:hideMark/>
          </w:tcPr>
          <w:p w14:paraId="3ABF3633" w14:textId="77777777" w:rsidR="009A79EE" w:rsidRPr="009A79EE" w:rsidRDefault="009A79EE" w:rsidP="009A79EE">
            <w:pPr>
              <w:rPr>
                <w:sz w:val="21"/>
                <w:szCs w:val="21"/>
                <w:lang w:eastAsia="en-GB" w:bidi="bn-IN"/>
              </w:rPr>
            </w:pPr>
            <w:r w:rsidRPr="009A79EE">
              <w:rPr>
                <w:sz w:val="21"/>
                <w:szCs w:val="21"/>
                <w:lang w:eastAsia="en-GB" w:bidi="bn-IN"/>
              </w:rPr>
              <w:t>Blockchain</w:t>
            </w:r>
          </w:p>
        </w:tc>
        <w:tc>
          <w:tcPr>
            <w:tcW w:w="1378" w:type="dxa"/>
            <w:hideMark/>
          </w:tcPr>
          <w:p w14:paraId="548F1EB0" w14:textId="77777777" w:rsidR="009A79EE" w:rsidRPr="009A79EE" w:rsidRDefault="009A79EE" w:rsidP="009A79EE">
            <w:pPr>
              <w:rPr>
                <w:sz w:val="21"/>
                <w:szCs w:val="21"/>
                <w:lang w:eastAsia="en-GB" w:bidi="bn-IN"/>
              </w:rPr>
            </w:pPr>
            <w:r w:rsidRPr="009A79EE">
              <w:rPr>
                <w:sz w:val="21"/>
                <w:szCs w:val="21"/>
                <w:lang w:eastAsia="en-GB" w:bidi="bn-IN"/>
              </w:rPr>
              <w:t>Privacy-preserving verification</w:t>
            </w:r>
          </w:p>
        </w:tc>
        <w:tc>
          <w:tcPr>
            <w:tcW w:w="1237" w:type="dxa"/>
            <w:hideMark/>
          </w:tcPr>
          <w:p w14:paraId="11992FD0" w14:textId="77777777" w:rsidR="009A79EE" w:rsidRPr="009A79EE" w:rsidRDefault="009A79EE" w:rsidP="009A79EE">
            <w:pPr>
              <w:rPr>
                <w:sz w:val="21"/>
                <w:szCs w:val="21"/>
                <w:lang w:eastAsia="en-GB" w:bidi="bn-IN"/>
              </w:rPr>
            </w:pPr>
            <w:r w:rsidRPr="009A79EE">
              <w:rPr>
                <w:sz w:val="21"/>
                <w:szCs w:val="21"/>
                <w:lang w:eastAsia="en-GB" w:bidi="bn-IN"/>
              </w:rPr>
              <w:t>ZKP integration</w:t>
            </w:r>
          </w:p>
        </w:tc>
        <w:tc>
          <w:tcPr>
            <w:tcW w:w="1272" w:type="dxa"/>
            <w:hideMark/>
          </w:tcPr>
          <w:p w14:paraId="3CCC0B4A" w14:textId="77777777" w:rsidR="009A79EE" w:rsidRPr="009A79EE" w:rsidRDefault="009A79EE" w:rsidP="009A79EE">
            <w:pPr>
              <w:rPr>
                <w:sz w:val="21"/>
                <w:szCs w:val="21"/>
                <w:lang w:eastAsia="en-GB" w:bidi="bn-IN"/>
              </w:rPr>
            </w:pPr>
            <w:r w:rsidRPr="009A79EE">
              <w:rPr>
                <w:sz w:val="21"/>
                <w:szCs w:val="21"/>
                <w:lang w:eastAsia="en-GB" w:bidi="bn-IN"/>
              </w:rPr>
              <w:t>End-to-end mineral traceability</w:t>
            </w:r>
          </w:p>
        </w:tc>
        <w:tc>
          <w:tcPr>
            <w:tcW w:w="1433" w:type="dxa"/>
            <w:hideMark/>
          </w:tcPr>
          <w:p w14:paraId="7AD9EFB8" w14:textId="77777777" w:rsidR="009A79EE" w:rsidRPr="009A79EE" w:rsidRDefault="009A79EE" w:rsidP="009A79EE">
            <w:pPr>
              <w:rPr>
                <w:sz w:val="21"/>
                <w:szCs w:val="21"/>
                <w:lang w:eastAsia="en-GB" w:bidi="bn-IN"/>
              </w:rPr>
            </w:pPr>
            <w:r w:rsidRPr="009A79EE">
              <w:rPr>
                <w:sz w:val="21"/>
                <w:szCs w:val="21"/>
                <w:lang w:eastAsia="en-GB" w:bidi="bn-IN"/>
              </w:rPr>
              <w:t>Reacquisition / return automation</w:t>
            </w:r>
          </w:p>
        </w:tc>
        <w:tc>
          <w:tcPr>
            <w:tcW w:w="1453" w:type="dxa"/>
            <w:hideMark/>
          </w:tcPr>
          <w:p w14:paraId="15CE5DE2" w14:textId="77777777" w:rsidR="009A79EE" w:rsidRPr="009A79EE" w:rsidRDefault="009A79EE" w:rsidP="009A79EE">
            <w:pPr>
              <w:rPr>
                <w:sz w:val="21"/>
                <w:szCs w:val="21"/>
                <w:lang w:eastAsia="en-GB" w:bidi="bn-IN"/>
              </w:rPr>
            </w:pPr>
            <w:r w:rsidRPr="009A79EE">
              <w:rPr>
                <w:sz w:val="21"/>
                <w:szCs w:val="21"/>
                <w:lang w:eastAsia="en-GB" w:bidi="bn-IN"/>
              </w:rPr>
              <w:t>Key limitation</w:t>
            </w:r>
          </w:p>
        </w:tc>
      </w:tr>
      <w:tr w:rsidR="009A79EE" w:rsidRPr="009A79EE" w14:paraId="7B233D1D" w14:textId="77777777" w:rsidTr="00DE20ED">
        <w:tc>
          <w:tcPr>
            <w:tcW w:w="1241" w:type="dxa"/>
            <w:hideMark/>
          </w:tcPr>
          <w:p w14:paraId="413831F4" w14:textId="77777777" w:rsidR="009A79EE" w:rsidRPr="009A79EE" w:rsidRDefault="009A79EE" w:rsidP="009A79EE">
            <w:pPr>
              <w:rPr>
                <w:sz w:val="21"/>
                <w:szCs w:val="21"/>
                <w:lang w:eastAsia="en-GB" w:bidi="bn-IN"/>
              </w:rPr>
            </w:pPr>
            <w:proofErr w:type="spellStart"/>
            <w:r w:rsidRPr="009A79EE">
              <w:rPr>
                <w:sz w:val="21"/>
                <w:szCs w:val="21"/>
                <w:lang w:eastAsia="en-GB" w:bidi="bn-IN"/>
              </w:rPr>
              <w:t>iTSCi</w:t>
            </w:r>
            <w:proofErr w:type="spellEnd"/>
            <w:r w:rsidRPr="009A79EE">
              <w:rPr>
                <w:sz w:val="21"/>
                <w:szCs w:val="21"/>
                <w:lang w:eastAsia="en-GB" w:bidi="bn-IN"/>
              </w:rPr>
              <w:t xml:space="preserve"> / bag-and-tag schemes</w:t>
            </w:r>
          </w:p>
        </w:tc>
        <w:tc>
          <w:tcPr>
            <w:tcW w:w="1275" w:type="dxa"/>
            <w:hideMark/>
          </w:tcPr>
          <w:p w14:paraId="23E14784" w14:textId="77777777" w:rsidR="009A79EE" w:rsidRPr="009A79EE" w:rsidRDefault="009A79EE" w:rsidP="009A79EE">
            <w:pPr>
              <w:rPr>
                <w:sz w:val="21"/>
                <w:szCs w:val="21"/>
                <w:lang w:eastAsia="en-GB" w:bidi="bn-IN"/>
              </w:rPr>
            </w:pPr>
            <w:r w:rsidRPr="009A79EE">
              <w:rPr>
                <w:sz w:val="21"/>
                <w:szCs w:val="21"/>
                <w:lang w:eastAsia="en-GB" w:bidi="bn-IN"/>
              </w:rPr>
              <w:t>Upstream 3T traceability and due diligence</w:t>
            </w:r>
          </w:p>
        </w:tc>
        <w:tc>
          <w:tcPr>
            <w:tcW w:w="1020" w:type="dxa"/>
            <w:hideMark/>
          </w:tcPr>
          <w:p w14:paraId="14815FAF" w14:textId="77777777" w:rsidR="009A79EE" w:rsidRPr="009A79EE" w:rsidRDefault="009A79EE" w:rsidP="009A79EE">
            <w:pPr>
              <w:rPr>
                <w:sz w:val="21"/>
                <w:szCs w:val="21"/>
                <w:lang w:eastAsia="en-GB" w:bidi="bn-IN"/>
              </w:rPr>
            </w:pPr>
            <w:r w:rsidRPr="009A79EE">
              <w:rPr>
                <w:sz w:val="21"/>
                <w:szCs w:val="21"/>
                <w:lang w:eastAsia="en-GB" w:bidi="bn-IN"/>
              </w:rPr>
              <w:t>No</w:t>
            </w:r>
          </w:p>
        </w:tc>
        <w:tc>
          <w:tcPr>
            <w:tcW w:w="1378" w:type="dxa"/>
            <w:hideMark/>
          </w:tcPr>
          <w:p w14:paraId="4240700D" w14:textId="77777777" w:rsidR="009A79EE" w:rsidRPr="009A79EE" w:rsidRDefault="009A79EE" w:rsidP="009A79EE">
            <w:pPr>
              <w:rPr>
                <w:sz w:val="21"/>
                <w:szCs w:val="21"/>
                <w:lang w:eastAsia="en-GB" w:bidi="bn-IN"/>
              </w:rPr>
            </w:pPr>
            <w:r w:rsidRPr="009A79EE">
              <w:rPr>
                <w:sz w:val="21"/>
                <w:szCs w:val="21"/>
                <w:lang w:eastAsia="en-GB" w:bidi="bn-IN"/>
              </w:rPr>
              <w:t>No</w:t>
            </w:r>
          </w:p>
        </w:tc>
        <w:tc>
          <w:tcPr>
            <w:tcW w:w="1237" w:type="dxa"/>
            <w:hideMark/>
          </w:tcPr>
          <w:p w14:paraId="3D177465" w14:textId="77777777" w:rsidR="009A79EE" w:rsidRPr="009A79EE" w:rsidRDefault="009A79EE" w:rsidP="009A79EE">
            <w:pPr>
              <w:rPr>
                <w:sz w:val="21"/>
                <w:szCs w:val="21"/>
                <w:lang w:eastAsia="en-GB" w:bidi="bn-IN"/>
              </w:rPr>
            </w:pPr>
            <w:r w:rsidRPr="009A79EE">
              <w:rPr>
                <w:sz w:val="21"/>
                <w:szCs w:val="21"/>
                <w:lang w:eastAsia="en-GB" w:bidi="bn-IN"/>
              </w:rPr>
              <w:t>No</w:t>
            </w:r>
          </w:p>
        </w:tc>
        <w:tc>
          <w:tcPr>
            <w:tcW w:w="1272" w:type="dxa"/>
            <w:hideMark/>
          </w:tcPr>
          <w:p w14:paraId="47D92015" w14:textId="77777777" w:rsidR="009A79EE" w:rsidRPr="009A79EE" w:rsidRDefault="009A79EE" w:rsidP="009A79EE">
            <w:pPr>
              <w:rPr>
                <w:sz w:val="21"/>
                <w:szCs w:val="21"/>
                <w:lang w:eastAsia="en-GB" w:bidi="bn-IN"/>
              </w:rPr>
            </w:pPr>
            <w:r w:rsidRPr="009A79EE">
              <w:rPr>
                <w:sz w:val="21"/>
                <w:szCs w:val="21"/>
                <w:lang w:eastAsia="en-GB" w:bidi="bn-IN"/>
              </w:rPr>
              <w:t>Partial</w:t>
            </w:r>
          </w:p>
        </w:tc>
        <w:tc>
          <w:tcPr>
            <w:tcW w:w="1433" w:type="dxa"/>
            <w:hideMark/>
          </w:tcPr>
          <w:p w14:paraId="6FB093DA" w14:textId="77777777" w:rsidR="009A79EE" w:rsidRPr="009A79EE" w:rsidRDefault="009A79EE" w:rsidP="009A79EE">
            <w:pPr>
              <w:rPr>
                <w:sz w:val="21"/>
                <w:szCs w:val="21"/>
                <w:lang w:eastAsia="en-GB" w:bidi="bn-IN"/>
              </w:rPr>
            </w:pPr>
            <w:r w:rsidRPr="009A79EE">
              <w:rPr>
                <w:sz w:val="21"/>
                <w:szCs w:val="21"/>
                <w:lang w:eastAsia="en-GB" w:bidi="bn-IN"/>
              </w:rPr>
              <w:t>No</w:t>
            </w:r>
          </w:p>
        </w:tc>
        <w:tc>
          <w:tcPr>
            <w:tcW w:w="1453" w:type="dxa"/>
            <w:hideMark/>
          </w:tcPr>
          <w:p w14:paraId="6425044F" w14:textId="77777777" w:rsidR="009A79EE" w:rsidRPr="009A79EE" w:rsidRDefault="009A79EE" w:rsidP="009A79EE">
            <w:pPr>
              <w:rPr>
                <w:sz w:val="21"/>
                <w:szCs w:val="21"/>
                <w:lang w:eastAsia="en-GB" w:bidi="bn-IN"/>
              </w:rPr>
            </w:pPr>
            <w:r w:rsidRPr="009A79EE">
              <w:rPr>
                <w:sz w:val="21"/>
                <w:szCs w:val="21"/>
                <w:lang w:eastAsia="en-GB" w:bidi="bn-IN"/>
              </w:rPr>
              <w:t>Manual tagging, central coordination, corruption and cross-border misreporting risks (</w:t>
            </w:r>
            <w:hyperlink r:id="rId4" w:tooltip="Traceability of critical raw materials" w:history="1">
              <w:r w:rsidRPr="009A79EE">
                <w:rPr>
                  <w:rStyle w:val="Hyperlink"/>
                  <w:sz w:val="21"/>
                  <w:szCs w:val="21"/>
                  <w:lang w:eastAsia="en-GB" w:bidi="bn-IN"/>
                </w:rPr>
                <w:t>Europ</w:t>
              </w:r>
              <w:r w:rsidRPr="009A79EE">
                <w:rPr>
                  <w:rStyle w:val="Hyperlink"/>
                  <w:sz w:val="21"/>
                  <w:szCs w:val="21"/>
                  <w:lang w:eastAsia="en-GB" w:bidi="bn-IN"/>
                </w:rPr>
                <w:t>e</w:t>
              </w:r>
              <w:r w:rsidRPr="009A79EE">
                <w:rPr>
                  <w:rStyle w:val="Hyperlink"/>
                  <w:sz w:val="21"/>
                  <w:szCs w:val="21"/>
                  <w:lang w:eastAsia="en-GB" w:bidi="bn-IN"/>
                </w:rPr>
                <w:t>an Parliament</w:t>
              </w:r>
            </w:hyperlink>
            <w:r w:rsidRPr="009A79EE">
              <w:rPr>
                <w:sz w:val="21"/>
                <w:szCs w:val="21"/>
                <w:lang w:eastAsia="en-GB" w:bidi="bn-IN"/>
              </w:rPr>
              <w:t>)</w:t>
            </w:r>
          </w:p>
        </w:tc>
      </w:tr>
      <w:tr w:rsidR="009A79EE" w:rsidRPr="009A79EE" w14:paraId="5EFAB01B" w14:textId="77777777" w:rsidTr="00DE20ED">
        <w:tc>
          <w:tcPr>
            <w:tcW w:w="1241" w:type="dxa"/>
            <w:hideMark/>
          </w:tcPr>
          <w:p w14:paraId="11EC6964" w14:textId="77777777" w:rsidR="009A79EE" w:rsidRPr="009A79EE" w:rsidRDefault="009A79EE" w:rsidP="009A79EE">
            <w:pPr>
              <w:rPr>
                <w:sz w:val="21"/>
                <w:szCs w:val="21"/>
                <w:lang w:eastAsia="en-GB" w:bidi="bn-IN"/>
              </w:rPr>
            </w:pPr>
            <w:proofErr w:type="spellStart"/>
            <w:r w:rsidRPr="009A79EE">
              <w:rPr>
                <w:sz w:val="21"/>
                <w:szCs w:val="21"/>
                <w:lang w:eastAsia="en-GB" w:bidi="bn-IN"/>
              </w:rPr>
              <w:t>Circulor</w:t>
            </w:r>
            <w:proofErr w:type="spellEnd"/>
          </w:p>
        </w:tc>
        <w:tc>
          <w:tcPr>
            <w:tcW w:w="1275" w:type="dxa"/>
            <w:hideMark/>
          </w:tcPr>
          <w:p w14:paraId="3593CB84" w14:textId="77777777" w:rsidR="009A79EE" w:rsidRPr="009A79EE" w:rsidRDefault="009A79EE" w:rsidP="009A79EE">
            <w:pPr>
              <w:rPr>
                <w:sz w:val="21"/>
                <w:szCs w:val="21"/>
                <w:lang w:eastAsia="en-GB" w:bidi="bn-IN"/>
              </w:rPr>
            </w:pPr>
            <w:r w:rsidRPr="009A79EE">
              <w:rPr>
                <w:sz w:val="21"/>
                <w:szCs w:val="21"/>
                <w:lang w:eastAsia="en-GB" w:bidi="bn-IN"/>
              </w:rPr>
              <w:t>Digital mineral and battery traceability</w:t>
            </w:r>
          </w:p>
        </w:tc>
        <w:tc>
          <w:tcPr>
            <w:tcW w:w="1020" w:type="dxa"/>
            <w:hideMark/>
          </w:tcPr>
          <w:p w14:paraId="01F3448C" w14:textId="77777777" w:rsidR="009A79EE" w:rsidRPr="009A79EE" w:rsidRDefault="009A79EE" w:rsidP="009A79EE">
            <w:pPr>
              <w:rPr>
                <w:sz w:val="21"/>
                <w:szCs w:val="21"/>
                <w:lang w:eastAsia="en-GB" w:bidi="bn-IN"/>
              </w:rPr>
            </w:pPr>
            <w:r w:rsidRPr="009A79EE">
              <w:rPr>
                <w:sz w:val="21"/>
                <w:szCs w:val="21"/>
                <w:lang w:eastAsia="en-GB" w:bidi="bn-IN"/>
              </w:rPr>
              <w:t>Yes</w:t>
            </w:r>
          </w:p>
        </w:tc>
        <w:tc>
          <w:tcPr>
            <w:tcW w:w="1378" w:type="dxa"/>
            <w:hideMark/>
          </w:tcPr>
          <w:p w14:paraId="6C996E2C" w14:textId="77777777" w:rsidR="009A79EE" w:rsidRPr="009A79EE" w:rsidRDefault="009A79EE" w:rsidP="009A79EE">
            <w:pPr>
              <w:rPr>
                <w:sz w:val="21"/>
                <w:szCs w:val="21"/>
                <w:lang w:eastAsia="en-GB" w:bidi="bn-IN"/>
              </w:rPr>
            </w:pPr>
            <w:r w:rsidRPr="009A79EE">
              <w:rPr>
                <w:sz w:val="21"/>
                <w:szCs w:val="21"/>
                <w:lang w:eastAsia="en-GB" w:bidi="bn-IN"/>
              </w:rPr>
              <w:t>Limited</w:t>
            </w:r>
          </w:p>
        </w:tc>
        <w:tc>
          <w:tcPr>
            <w:tcW w:w="1237" w:type="dxa"/>
            <w:hideMark/>
          </w:tcPr>
          <w:p w14:paraId="55247A7B" w14:textId="77777777" w:rsidR="009A79EE" w:rsidRPr="009A79EE" w:rsidRDefault="009A79EE" w:rsidP="009A79EE">
            <w:pPr>
              <w:rPr>
                <w:sz w:val="21"/>
                <w:szCs w:val="21"/>
                <w:lang w:eastAsia="en-GB" w:bidi="bn-IN"/>
              </w:rPr>
            </w:pPr>
            <w:r w:rsidRPr="009A79EE">
              <w:rPr>
                <w:sz w:val="21"/>
                <w:szCs w:val="21"/>
                <w:lang w:eastAsia="en-GB" w:bidi="bn-IN"/>
              </w:rPr>
              <w:t>No explicit support reported</w:t>
            </w:r>
          </w:p>
        </w:tc>
        <w:tc>
          <w:tcPr>
            <w:tcW w:w="1272" w:type="dxa"/>
            <w:hideMark/>
          </w:tcPr>
          <w:p w14:paraId="737BB232" w14:textId="77777777" w:rsidR="009A79EE" w:rsidRPr="009A79EE" w:rsidRDefault="009A79EE" w:rsidP="009A79EE">
            <w:pPr>
              <w:rPr>
                <w:sz w:val="21"/>
                <w:szCs w:val="21"/>
                <w:lang w:eastAsia="en-GB" w:bidi="bn-IN"/>
              </w:rPr>
            </w:pPr>
            <w:r w:rsidRPr="009A79EE">
              <w:rPr>
                <w:sz w:val="21"/>
                <w:szCs w:val="21"/>
                <w:lang w:eastAsia="en-GB" w:bidi="bn-IN"/>
              </w:rPr>
              <w:t>Partial to broad</w:t>
            </w:r>
          </w:p>
        </w:tc>
        <w:tc>
          <w:tcPr>
            <w:tcW w:w="1433" w:type="dxa"/>
            <w:hideMark/>
          </w:tcPr>
          <w:p w14:paraId="6B702F7B" w14:textId="77777777" w:rsidR="009A79EE" w:rsidRPr="009A79EE" w:rsidRDefault="009A79EE" w:rsidP="009A79EE">
            <w:pPr>
              <w:rPr>
                <w:sz w:val="21"/>
                <w:szCs w:val="21"/>
                <w:lang w:eastAsia="en-GB" w:bidi="bn-IN"/>
              </w:rPr>
            </w:pPr>
            <w:r w:rsidRPr="009A79EE">
              <w:rPr>
                <w:sz w:val="21"/>
                <w:szCs w:val="21"/>
                <w:lang w:eastAsia="en-GB" w:bidi="bn-IN"/>
              </w:rPr>
              <w:t>No explicit support reported</w:t>
            </w:r>
          </w:p>
        </w:tc>
        <w:tc>
          <w:tcPr>
            <w:tcW w:w="1453" w:type="dxa"/>
            <w:hideMark/>
          </w:tcPr>
          <w:p w14:paraId="49DA83AF" w14:textId="77777777" w:rsidR="009A79EE" w:rsidRPr="009A79EE" w:rsidRDefault="009A79EE" w:rsidP="009A79EE">
            <w:pPr>
              <w:rPr>
                <w:sz w:val="21"/>
                <w:szCs w:val="21"/>
                <w:lang w:eastAsia="en-GB" w:bidi="bn-IN"/>
              </w:rPr>
            </w:pPr>
            <w:r w:rsidRPr="009A79EE">
              <w:rPr>
                <w:sz w:val="21"/>
                <w:szCs w:val="21"/>
                <w:lang w:eastAsia="en-GB" w:bidi="bn-IN"/>
              </w:rPr>
              <w:t>Improves digitisation, but still depends on human/authorized data input and does not provide cryptographic geographic privacy (</w:t>
            </w:r>
            <w:hyperlink r:id="rId5" w:tooltip="Traceability of critical raw materials" w:history="1">
              <w:r w:rsidRPr="009A79EE">
                <w:rPr>
                  <w:rStyle w:val="Hyperlink"/>
                  <w:sz w:val="21"/>
                  <w:szCs w:val="21"/>
                  <w:lang w:eastAsia="en-GB" w:bidi="bn-IN"/>
                </w:rPr>
                <w:t>Eur</w:t>
              </w:r>
              <w:r w:rsidRPr="009A79EE">
                <w:rPr>
                  <w:rStyle w:val="Hyperlink"/>
                  <w:sz w:val="21"/>
                  <w:szCs w:val="21"/>
                  <w:lang w:eastAsia="en-GB" w:bidi="bn-IN"/>
                </w:rPr>
                <w:t>o</w:t>
              </w:r>
              <w:r w:rsidRPr="009A79EE">
                <w:rPr>
                  <w:rStyle w:val="Hyperlink"/>
                  <w:sz w:val="21"/>
                  <w:szCs w:val="21"/>
                  <w:lang w:eastAsia="en-GB" w:bidi="bn-IN"/>
                </w:rPr>
                <w:t>pean Parliament</w:t>
              </w:r>
            </w:hyperlink>
            <w:r w:rsidRPr="009A79EE">
              <w:rPr>
                <w:sz w:val="21"/>
                <w:szCs w:val="21"/>
                <w:lang w:eastAsia="en-GB" w:bidi="bn-IN"/>
              </w:rPr>
              <w:t>)</w:t>
            </w:r>
          </w:p>
        </w:tc>
      </w:tr>
      <w:tr w:rsidR="009A79EE" w:rsidRPr="009A79EE" w14:paraId="4EEE5623" w14:textId="77777777" w:rsidTr="00DE20ED">
        <w:tc>
          <w:tcPr>
            <w:tcW w:w="1241" w:type="dxa"/>
            <w:hideMark/>
          </w:tcPr>
          <w:p w14:paraId="5242EC5A" w14:textId="77777777" w:rsidR="009A79EE" w:rsidRPr="009A79EE" w:rsidRDefault="009A79EE" w:rsidP="009A79EE">
            <w:pPr>
              <w:rPr>
                <w:sz w:val="21"/>
                <w:szCs w:val="21"/>
                <w:lang w:eastAsia="en-GB" w:bidi="bn-IN"/>
              </w:rPr>
            </w:pPr>
            <w:proofErr w:type="spellStart"/>
            <w:r w:rsidRPr="009A79EE">
              <w:rPr>
                <w:sz w:val="21"/>
                <w:szCs w:val="21"/>
                <w:lang w:eastAsia="en-GB" w:bidi="bn-IN"/>
              </w:rPr>
              <w:t>Minespider</w:t>
            </w:r>
            <w:proofErr w:type="spellEnd"/>
          </w:p>
        </w:tc>
        <w:tc>
          <w:tcPr>
            <w:tcW w:w="1275" w:type="dxa"/>
            <w:hideMark/>
          </w:tcPr>
          <w:p w14:paraId="6C720BCA" w14:textId="77777777" w:rsidR="009A79EE" w:rsidRPr="009A79EE" w:rsidRDefault="009A79EE" w:rsidP="009A79EE">
            <w:pPr>
              <w:rPr>
                <w:sz w:val="21"/>
                <w:szCs w:val="21"/>
                <w:lang w:eastAsia="en-GB" w:bidi="bn-IN"/>
              </w:rPr>
            </w:pPr>
            <w:r w:rsidRPr="009A79EE">
              <w:rPr>
                <w:sz w:val="21"/>
                <w:szCs w:val="21"/>
                <w:lang w:eastAsia="en-GB" w:bidi="bn-IN"/>
              </w:rPr>
              <w:t>Digital platform, material journey, battery/product passports</w:t>
            </w:r>
          </w:p>
        </w:tc>
        <w:tc>
          <w:tcPr>
            <w:tcW w:w="1020" w:type="dxa"/>
            <w:hideMark/>
          </w:tcPr>
          <w:p w14:paraId="6E3B2F14" w14:textId="77777777" w:rsidR="009A79EE" w:rsidRPr="009A79EE" w:rsidRDefault="009A79EE" w:rsidP="009A79EE">
            <w:pPr>
              <w:rPr>
                <w:sz w:val="21"/>
                <w:szCs w:val="21"/>
                <w:lang w:eastAsia="en-GB" w:bidi="bn-IN"/>
              </w:rPr>
            </w:pPr>
            <w:r w:rsidRPr="009A79EE">
              <w:rPr>
                <w:sz w:val="21"/>
                <w:szCs w:val="21"/>
                <w:lang w:eastAsia="en-GB" w:bidi="bn-IN"/>
              </w:rPr>
              <w:t>Yes</w:t>
            </w:r>
          </w:p>
        </w:tc>
        <w:tc>
          <w:tcPr>
            <w:tcW w:w="1378" w:type="dxa"/>
            <w:hideMark/>
          </w:tcPr>
          <w:p w14:paraId="6F8A0547" w14:textId="77777777" w:rsidR="009A79EE" w:rsidRPr="009A79EE" w:rsidRDefault="009A79EE" w:rsidP="009A79EE">
            <w:pPr>
              <w:rPr>
                <w:sz w:val="21"/>
                <w:szCs w:val="21"/>
                <w:lang w:eastAsia="en-GB" w:bidi="bn-IN"/>
              </w:rPr>
            </w:pPr>
            <w:r w:rsidRPr="009A79EE">
              <w:rPr>
                <w:sz w:val="21"/>
                <w:szCs w:val="21"/>
                <w:lang w:eastAsia="en-GB" w:bidi="bn-IN"/>
              </w:rPr>
              <w:t>Limited</w:t>
            </w:r>
          </w:p>
        </w:tc>
        <w:tc>
          <w:tcPr>
            <w:tcW w:w="1237" w:type="dxa"/>
            <w:hideMark/>
          </w:tcPr>
          <w:p w14:paraId="1CF96E1B" w14:textId="77777777" w:rsidR="009A79EE" w:rsidRPr="009A79EE" w:rsidRDefault="009A79EE" w:rsidP="009A79EE">
            <w:pPr>
              <w:rPr>
                <w:sz w:val="21"/>
                <w:szCs w:val="21"/>
                <w:lang w:eastAsia="en-GB" w:bidi="bn-IN"/>
              </w:rPr>
            </w:pPr>
            <w:r w:rsidRPr="009A79EE">
              <w:rPr>
                <w:sz w:val="21"/>
                <w:szCs w:val="21"/>
                <w:lang w:eastAsia="en-GB" w:bidi="bn-IN"/>
              </w:rPr>
              <w:t>No explicit support reported</w:t>
            </w:r>
          </w:p>
        </w:tc>
        <w:tc>
          <w:tcPr>
            <w:tcW w:w="1272" w:type="dxa"/>
            <w:hideMark/>
          </w:tcPr>
          <w:p w14:paraId="2801B849" w14:textId="77777777" w:rsidR="009A79EE" w:rsidRPr="009A79EE" w:rsidRDefault="009A79EE" w:rsidP="009A79EE">
            <w:pPr>
              <w:rPr>
                <w:sz w:val="21"/>
                <w:szCs w:val="21"/>
                <w:lang w:eastAsia="en-GB" w:bidi="bn-IN"/>
              </w:rPr>
            </w:pPr>
            <w:r w:rsidRPr="009A79EE">
              <w:rPr>
                <w:sz w:val="21"/>
                <w:szCs w:val="21"/>
                <w:lang w:eastAsia="en-GB" w:bidi="bn-IN"/>
              </w:rPr>
              <w:t>Partial to broad</w:t>
            </w:r>
          </w:p>
        </w:tc>
        <w:tc>
          <w:tcPr>
            <w:tcW w:w="1433" w:type="dxa"/>
            <w:hideMark/>
          </w:tcPr>
          <w:p w14:paraId="65077E04" w14:textId="77777777" w:rsidR="009A79EE" w:rsidRPr="009A79EE" w:rsidRDefault="009A79EE" w:rsidP="009A79EE">
            <w:pPr>
              <w:rPr>
                <w:sz w:val="21"/>
                <w:szCs w:val="21"/>
                <w:lang w:eastAsia="en-GB" w:bidi="bn-IN"/>
              </w:rPr>
            </w:pPr>
            <w:r w:rsidRPr="009A79EE">
              <w:rPr>
                <w:sz w:val="21"/>
                <w:szCs w:val="21"/>
                <w:lang w:eastAsia="en-GB" w:bidi="bn-IN"/>
              </w:rPr>
              <w:t>No explicit support reported</w:t>
            </w:r>
          </w:p>
        </w:tc>
        <w:tc>
          <w:tcPr>
            <w:tcW w:w="1453" w:type="dxa"/>
            <w:hideMark/>
          </w:tcPr>
          <w:p w14:paraId="6B7A53D0" w14:textId="77777777" w:rsidR="009A79EE" w:rsidRPr="009A79EE" w:rsidRDefault="009A79EE" w:rsidP="009A79EE">
            <w:pPr>
              <w:rPr>
                <w:sz w:val="21"/>
                <w:szCs w:val="21"/>
                <w:lang w:eastAsia="en-GB" w:bidi="bn-IN"/>
              </w:rPr>
            </w:pPr>
            <w:r w:rsidRPr="009A79EE">
              <w:rPr>
                <w:sz w:val="21"/>
                <w:szCs w:val="21"/>
                <w:lang w:eastAsia="en-GB" w:bidi="bn-IN"/>
              </w:rPr>
              <w:t>Strong digital recordkeeping, but no clear mineral-specific ZKP provenance model (</w:t>
            </w:r>
            <w:hyperlink r:id="rId6" w:tooltip="Traceability of critical raw materials" w:history="1">
              <w:r w:rsidRPr="009A79EE">
                <w:rPr>
                  <w:rStyle w:val="Hyperlink"/>
                  <w:sz w:val="21"/>
                  <w:szCs w:val="21"/>
                  <w:lang w:eastAsia="en-GB" w:bidi="bn-IN"/>
                </w:rPr>
                <w:t>European Parliament</w:t>
              </w:r>
            </w:hyperlink>
            <w:r w:rsidRPr="009A79EE">
              <w:rPr>
                <w:sz w:val="21"/>
                <w:szCs w:val="21"/>
                <w:lang w:eastAsia="en-GB" w:bidi="bn-IN"/>
              </w:rPr>
              <w:t>)</w:t>
            </w:r>
          </w:p>
        </w:tc>
      </w:tr>
      <w:tr w:rsidR="009A79EE" w:rsidRPr="009A79EE" w14:paraId="4CB00FC6" w14:textId="77777777" w:rsidTr="00DE20ED">
        <w:tc>
          <w:tcPr>
            <w:tcW w:w="1241" w:type="dxa"/>
            <w:hideMark/>
          </w:tcPr>
          <w:p w14:paraId="286B550F" w14:textId="77777777" w:rsidR="009A79EE" w:rsidRPr="009A79EE" w:rsidRDefault="009A79EE" w:rsidP="009A79EE">
            <w:pPr>
              <w:rPr>
                <w:sz w:val="21"/>
                <w:szCs w:val="21"/>
                <w:lang w:eastAsia="en-GB" w:bidi="bn-IN"/>
              </w:rPr>
            </w:pPr>
            <w:r w:rsidRPr="009A79EE">
              <w:rPr>
                <w:sz w:val="21"/>
                <w:szCs w:val="21"/>
                <w:lang w:eastAsia="en-GB" w:bidi="bn-IN"/>
              </w:rPr>
              <w:t>IBM / RSBN</w:t>
            </w:r>
          </w:p>
        </w:tc>
        <w:tc>
          <w:tcPr>
            <w:tcW w:w="1275" w:type="dxa"/>
            <w:hideMark/>
          </w:tcPr>
          <w:p w14:paraId="38AAD9D8" w14:textId="77777777" w:rsidR="009A79EE" w:rsidRPr="009A79EE" w:rsidRDefault="009A79EE" w:rsidP="009A79EE">
            <w:pPr>
              <w:rPr>
                <w:sz w:val="21"/>
                <w:szCs w:val="21"/>
                <w:lang w:eastAsia="en-GB" w:bidi="bn-IN"/>
              </w:rPr>
            </w:pPr>
            <w:r w:rsidRPr="009A79EE">
              <w:rPr>
                <w:sz w:val="21"/>
                <w:szCs w:val="21"/>
                <w:lang w:eastAsia="en-GB" w:bidi="bn-IN"/>
              </w:rPr>
              <w:t>Responsible sourcing network for battery materials</w:t>
            </w:r>
          </w:p>
        </w:tc>
        <w:tc>
          <w:tcPr>
            <w:tcW w:w="1020" w:type="dxa"/>
            <w:hideMark/>
          </w:tcPr>
          <w:p w14:paraId="0D74128E" w14:textId="77777777" w:rsidR="009A79EE" w:rsidRPr="009A79EE" w:rsidRDefault="009A79EE" w:rsidP="009A79EE">
            <w:pPr>
              <w:rPr>
                <w:sz w:val="21"/>
                <w:szCs w:val="21"/>
                <w:lang w:eastAsia="en-GB" w:bidi="bn-IN"/>
              </w:rPr>
            </w:pPr>
            <w:r w:rsidRPr="009A79EE">
              <w:rPr>
                <w:sz w:val="21"/>
                <w:szCs w:val="21"/>
                <w:lang w:eastAsia="en-GB" w:bidi="bn-IN"/>
              </w:rPr>
              <w:t>Yes</w:t>
            </w:r>
          </w:p>
        </w:tc>
        <w:tc>
          <w:tcPr>
            <w:tcW w:w="1378" w:type="dxa"/>
            <w:hideMark/>
          </w:tcPr>
          <w:p w14:paraId="38F89852" w14:textId="77777777" w:rsidR="009A79EE" w:rsidRPr="009A79EE" w:rsidRDefault="009A79EE" w:rsidP="009A79EE">
            <w:pPr>
              <w:rPr>
                <w:sz w:val="21"/>
                <w:szCs w:val="21"/>
                <w:lang w:eastAsia="en-GB" w:bidi="bn-IN"/>
              </w:rPr>
            </w:pPr>
            <w:r w:rsidRPr="009A79EE">
              <w:rPr>
                <w:sz w:val="21"/>
                <w:szCs w:val="21"/>
                <w:lang w:eastAsia="en-GB" w:bidi="bn-IN"/>
              </w:rPr>
              <w:t>Limited / permissioned sharing</w:t>
            </w:r>
          </w:p>
        </w:tc>
        <w:tc>
          <w:tcPr>
            <w:tcW w:w="1237" w:type="dxa"/>
            <w:hideMark/>
          </w:tcPr>
          <w:p w14:paraId="33F84740" w14:textId="77777777" w:rsidR="009A79EE" w:rsidRPr="009A79EE" w:rsidRDefault="009A79EE" w:rsidP="009A79EE">
            <w:pPr>
              <w:rPr>
                <w:sz w:val="21"/>
                <w:szCs w:val="21"/>
                <w:lang w:eastAsia="en-GB" w:bidi="bn-IN"/>
              </w:rPr>
            </w:pPr>
            <w:r w:rsidRPr="009A79EE">
              <w:rPr>
                <w:sz w:val="21"/>
                <w:szCs w:val="21"/>
                <w:lang w:eastAsia="en-GB" w:bidi="bn-IN"/>
              </w:rPr>
              <w:t>No explicit support reported</w:t>
            </w:r>
          </w:p>
        </w:tc>
        <w:tc>
          <w:tcPr>
            <w:tcW w:w="1272" w:type="dxa"/>
            <w:hideMark/>
          </w:tcPr>
          <w:p w14:paraId="56D22456" w14:textId="77777777" w:rsidR="009A79EE" w:rsidRPr="009A79EE" w:rsidRDefault="009A79EE" w:rsidP="009A79EE">
            <w:pPr>
              <w:rPr>
                <w:sz w:val="21"/>
                <w:szCs w:val="21"/>
                <w:lang w:eastAsia="en-GB" w:bidi="bn-IN"/>
              </w:rPr>
            </w:pPr>
            <w:r w:rsidRPr="009A79EE">
              <w:rPr>
                <w:sz w:val="21"/>
                <w:szCs w:val="21"/>
                <w:lang w:eastAsia="en-GB" w:bidi="bn-IN"/>
              </w:rPr>
              <w:t>Broad</w:t>
            </w:r>
          </w:p>
        </w:tc>
        <w:tc>
          <w:tcPr>
            <w:tcW w:w="1433" w:type="dxa"/>
            <w:hideMark/>
          </w:tcPr>
          <w:p w14:paraId="56C8D906" w14:textId="77777777" w:rsidR="009A79EE" w:rsidRPr="009A79EE" w:rsidRDefault="009A79EE" w:rsidP="009A79EE">
            <w:pPr>
              <w:rPr>
                <w:sz w:val="21"/>
                <w:szCs w:val="21"/>
                <w:lang w:eastAsia="en-GB" w:bidi="bn-IN"/>
              </w:rPr>
            </w:pPr>
            <w:r w:rsidRPr="009A79EE">
              <w:rPr>
                <w:sz w:val="21"/>
                <w:szCs w:val="21"/>
                <w:lang w:eastAsia="en-GB" w:bidi="bn-IN"/>
              </w:rPr>
              <w:t>No explicit support reported</w:t>
            </w:r>
          </w:p>
        </w:tc>
        <w:tc>
          <w:tcPr>
            <w:tcW w:w="1453" w:type="dxa"/>
            <w:hideMark/>
          </w:tcPr>
          <w:p w14:paraId="723A9697" w14:textId="77777777" w:rsidR="009A79EE" w:rsidRPr="009A79EE" w:rsidRDefault="009A79EE" w:rsidP="009A79EE">
            <w:pPr>
              <w:rPr>
                <w:sz w:val="21"/>
                <w:szCs w:val="21"/>
                <w:lang w:eastAsia="en-GB" w:bidi="bn-IN"/>
              </w:rPr>
            </w:pPr>
            <w:r w:rsidRPr="009A79EE">
              <w:rPr>
                <w:sz w:val="21"/>
                <w:szCs w:val="21"/>
                <w:lang w:eastAsia="en-GB" w:bidi="bn-IN"/>
              </w:rPr>
              <w:t xml:space="preserve">Focuses on validated data exchange and provenance, not region-private origin </w:t>
            </w:r>
            <w:r w:rsidRPr="009A79EE">
              <w:rPr>
                <w:sz w:val="21"/>
                <w:szCs w:val="21"/>
                <w:lang w:eastAsia="en-GB" w:bidi="bn-IN"/>
              </w:rPr>
              <w:lastRenderedPageBreak/>
              <w:t>proofs or reacquisition logic (</w:t>
            </w:r>
            <w:hyperlink r:id="rId7" w:tooltip="RCS Global | IBM" w:history="1">
              <w:r w:rsidRPr="009A79EE">
                <w:rPr>
                  <w:rStyle w:val="Hyperlink"/>
                  <w:sz w:val="21"/>
                  <w:szCs w:val="21"/>
                  <w:lang w:eastAsia="en-GB" w:bidi="bn-IN"/>
                </w:rPr>
                <w:t>I</w:t>
              </w:r>
              <w:r w:rsidRPr="009A79EE">
                <w:rPr>
                  <w:rStyle w:val="Hyperlink"/>
                  <w:sz w:val="21"/>
                  <w:szCs w:val="21"/>
                  <w:lang w:eastAsia="en-GB" w:bidi="bn-IN"/>
                </w:rPr>
                <w:t>B</w:t>
              </w:r>
              <w:r w:rsidRPr="009A79EE">
                <w:rPr>
                  <w:rStyle w:val="Hyperlink"/>
                  <w:sz w:val="21"/>
                  <w:szCs w:val="21"/>
                  <w:lang w:eastAsia="en-GB" w:bidi="bn-IN"/>
                </w:rPr>
                <w:t>M</w:t>
              </w:r>
            </w:hyperlink>
            <w:r w:rsidRPr="009A79EE">
              <w:rPr>
                <w:sz w:val="21"/>
                <w:szCs w:val="21"/>
                <w:lang w:eastAsia="en-GB" w:bidi="bn-IN"/>
              </w:rPr>
              <w:t>)</w:t>
            </w:r>
          </w:p>
        </w:tc>
      </w:tr>
      <w:tr w:rsidR="009A79EE" w:rsidRPr="009A79EE" w14:paraId="0C362F99" w14:textId="77777777" w:rsidTr="00DE20ED">
        <w:tc>
          <w:tcPr>
            <w:tcW w:w="1241" w:type="dxa"/>
            <w:hideMark/>
          </w:tcPr>
          <w:p w14:paraId="1959EE95" w14:textId="77777777" w:rsidR="009A79EE" w:rsidRPr="009A79EE" w:rsidRDefault="009A79EE" w:rsidP="009A79EE">
            <w:pPr>
              <w:rPr>
                <w:sz w:val="21"/>
                <w:szCs w:val="21"/>
                <w:lang w:eastAsia="en-GB" w:bidi="bn-IN"/>
              </w:rPr>
            </w:pPr>
            <w:r w:rsidRPr="009A79EE">
              <w:rPr>
                <w:sz w:val="21"/>
                <w:szCs w:val="21"/>
                <w:lang w:eastAsia="en-GB" w:bidi="bn-IN"/>
              </w:rPr>
              <w:lastRenderedPageBreak/>
              <w:t>Sahai et al. (2020)</w:t>
            </w:r>
          </w:p>
        </w:tc>
        <w:tc>
          <w:tcPr>
            <w:tcW w:w="1275" w:type="dxa"/>
            <w:hideMark/>
          </w:tcPr>
          <w:p w14:paraId="2A2280D4" w14:textId="77777777" w:rsidR="009A79EE" w:rsidRPr="009A79EE" w:rsidRDefault="009A79EE" w:rsidP="009A79EE">
            <w:pPr>
              <w:rPr>
                <w:sz w:val="21"/>
                <w:szCs w:val="21"/>
                <w:lang w:eastAsia="en-GB" w:bidi="bn-IN"/>
              </w:rPr>
            </w:pPr>
            <w:r w:rsidRPr="009A79EE">
              <w:rPr>
                <w:sz w:val="21"/>
                <w:szCs w:val="21"/>
                <w:lang w:eastAsia="en-GB" w:bidi="bn-IN"/>
              </w:rPr>
              <w:t>Generic privacy + traceability in supply chains</w:t>
            </w:r>
          </w:p>
        </w:tc>
        <w:tc>
          <w:tcPr>
            <w:tcW w:w="1020" w:type="dxa"/>
            <w:hideMark/>
          </w:tcPr>
          <w:p w14:paraId="08B50F6C" w14:textId="77777777" w:rsidR="009A79EE" w:rsidRPr="009A79EE" w:rsidRDefault="009A79EE" w:rsidP="009A79EE">
            <w:pPr>
              <w:rPr>
                <w:sz w:val="21"/>
                <w:szCs w:val="21"/>
                <w:lang w:eastAsia="en-GB" w:bidi="bn-IN"/>
              </w:rPr>
            </w:pPr>
            <w:r w:rsidRPr="009A79EE">
              <w:rPr>
                <w:sz w:val="21"/>
                <w:szCs w:val="21"/>
                <w:lang w:eastAsia="en-GB" w:bidi="bn-IN"/>
              </w:rPr>
              <w:t>Yes</w:t>
            </w:r>
          </w:p>
        </w:tc>
        <w:tc>
          <w:tcPr>
            <w:tcW w:w="1378" w:type="dxa"/>
            <w:hideMark/>
          </w:tcPr>
          <w:p w14:paraId="251D63E0" w14:textId="77777777" w:rsidR="009A79EE" w:rsidRPr="009A79EE" w:rsidRDefault="009A79EE" w:rsidP="009A79EE">
            <w:pPr>
              <w:rPr>
                <w:sz w:val="21"/>
                <w:szCs w:val="21"/>
                <w:lang w:eastAsia="en-GB" w:bidi="bn-IN"/>
              </w:rPr>
            </w:pPr>
            <w:r w:rsidRPr="009A79EE">
              <w:rPr>
                <w:sz w:val="21"/>
                <w:szCs w:val="21"/>
                <w:lang w:eastAsia="en-GB" w:bidi="bn-IN"/>
              </w:rPr>
              <w:t>Yes</w:t>
            </w:r>
          </w:p>
        </w:tc>
        <w:tc>
          <w:tcPr>
            <w:tcW w:w="1237" w:type="dxa"/>
            <w:hideMark/>
          </w:tcPr>
          <w:p w14:paraId="738D4058" w14:textId="77777777" w:rsidR="009A79EE" w:rsidRPr="009A79EE" w:rsidRDefault="009A79EE" w:rsidP="009A79EE">
            <w:pPr>
              <w:rPr>
                <w:sz w:val="21"/>
                <w:szCs w:val="21"/>
                <w:lang w:eastAsia="en-GB" w:bidi="bn-IN"/>
              </w:rPr>
            </w:pPr>
            <w:r w:rsidRPr="009A79EE">
              <w:rPr>
                <w:sz w:val="21"/>
                <w:szCs w:val="21"/>
                <w:lang w:eastAsia="en-GB" w:bidi="bn-IN"/>
              </w:rPr>
              <w:t>Yes</w:t>
            </w:r>
          </w:p>
        </w:tc>
        <w:tc>
          <w:tcPr>
            <w:tcW w:w="1272" w:type="dxa"/>
            <w:hideMark/>
          </w:tcPr>
          <w:p w14:paraId="0CEA641C" w14:textId="77777777" w:rsidR="009A79EE" w:rsidRPr="009A79EE" w:rsidRDefault="009A79EE" w:rsidP="009A79EE">
            <w:pPr>
              <w:rPr>
                <w:sz w:val="21"/>
                <w:szCs w:val="21"/>
                <w:lang w:eastAsia="en-GB" w:bidi="bn-IN"/>
              </w:rPr>
            </w:pPr>
            <w:r w:rsidRPr="009A79EE">
              <w:rPr>
                <w:sz w:val="21"/>
                <w:szCs w:val="21"/>
                <w:lang w:eastAsia="en-GB" w:bidi="bn-IN"/>
              </w:rPr>
              <w:t>Not mineral-specific</w:t>
            </w:r>
          </w:p>
        </w:tc>
        <w:tc>
          <w:tcPr>
            <w:tcW w:w="1433" w:type="dxa"/>
            <w:hideMark/>
          </w:tcPr>
          <w:p w14:paraId="170F4EA1" w14:textId="77777777" w:rsidR="009A79EE" w:rsidRPr="009A79EE" w:rsidRDefault="009A79EE" w:rsidP="009A79EE">
            <w:pPr>
              <w:rPr>
                <w:sz w:val="21"/>
                <w:szCs w:val="21"/>
                <w:lang w:eastAsia="en-GB" w:bidi="bn-IN"/>
              </w:rPr>
            </w:pPr>
            <w:r w:rsidRPr="009A79EE">
              <w:rPr>
                <w:sz w:val="21"/>
                <w:szCs w:val="21"/>
                <w:lang w:eastAsia="en-GB" w:bidi="bn-IN"/>
              </w:rPr>
              <w:t>No</w:t>
            </w:r>
          </w:p>
        </w:tc>
        <w:tc>
          <w:tcPr>
            <w:tcW w:w="1453" w:type="dxa"/>
            <w:hideMark/>
          </w:tcPr>
          <w:p w14:paraId="414842C4" w14:textId="77777777" w:rsidR="009A79EE" w:rsidRPr="009A79EE" w:rsidRDefault="009A79EE" w:rsidP="009A79EE">
            <w:pPr>
              <w:rPr>
                <w:sz w:val="21"/>
                <w:szCs w:val="21"/>
                <w:lang w:eastAsia="en-GB" w:bidi="bn-IN"/>
              </w:rPr>
            </w:pPr>
            <w:r w:rsidRPr="009A79EE">
              <w:rPr>
                <w:sz w:val="21"/>
                <w:szCs w:val="21"/>
                <w:lang w:eastAsia="en-GB" w:bidi="bn-IN"/>
              </w:rPr>
              <w:t>Demonstrates technical feasibility, but not tailored to extractive chains or regional origin privacy (</w:t>
            </w:r>
            <w:hyperlink r:id="rId8" w:tooltip="Enabling Privacy and Traceability in Supply Chains using Blockchain and Zero Knowledge Proofs for Blockchain 2020 - IBM Research" w:history="1">
              <w:r w:rsidRPr="009A79EE">
                <w:rPr>
                  <w:rStyle w:val="Hyperlink"/>
                  <w:sz w:val="21"/>
                  <w:szCs w:val="21"/>
                  <w:lang w:eastAsia="en-GB" w:bidi="bn-IN"/>
                </w:rPr>
                <w:t>I</w:t>
              </w:r>
              <w:r w:rsidRPr="009A79EE">
                <w:rPr>
                  <w:rStyle w:val="Hyperlink"/>
                  <w:sz w:val="21"/>
                  <w:szCs w:val="21"/>
                  <w:lang w:eastAsia="en-GB" w:bidi="bn-IN"/>
                </w:rPr>
                <w:t>B</w:t>
              </w:r>
              <w:r w:rsidRPr="009A79EE">
                <w:rPr>
                  <w:rStyle w:val="Hyperlink"/>
                  <w:sz w:val="21"/>
                  <w:szCs w:val="21"/>
                  <w:lang w:eastAsia="en-GB" w:bidi="bn-IN"/>
                </w:rPr>
                <w:t>M Research</w:t>
              </w:r>
            </w:hyperlink>
            <w:r w:rsidRPr="009A79EE">
              <w:rPr>
                <w:sz w:val="21"/>
                <w:szCs w:val="21"/>
                <w:lang w:eastAsia="en-GB" w:bidi="bn-IN"/>
              </w:rPr>
              <w:t>)</w:t>
            </w:r>
          </w:p>
        </w:tc>
      </w:tr>
      <w:tr w:rsidR="009A79EE" w:rsidRPr="009A79EE" w14:paraId="4D33DAC0" w14:textId="77777777" w:rsidTr="00DE20ED">
        <w:tc>
          <w:tcPr>
            <w:tcW w:w="1241" w:type="dxa"/>
            <w:hideMark/>
          </w:tcPr>
          <w:p w14:paraId="15CCC49F" w14:textId="77777777" w:rsidR="009A79EE" w:rsidRPr="009A79EE" w:rsidRDefault="009A79EE" w:rsidP="009A79EE">
            <w:pPr>
              <w:rPr>
                <w:sz w:val="21"/>
                <w:szCs w:val="21"/>
                <w:lang w:eastAsia="en-GB" w:bidi="bn-IN"/>
              </w:rPr>
            </w:pPr>
            <w:proofErr w:type="spellStart"/>
            <w:r w:rsidRPr="009A79EE">
              <w:rPr>
                <w:sz w:val="21"/>
                <w:szCs w:val="21"/>
                <w:lang w:eastAsia="en-GB" w:bidi="bn-IN"/>
              </w:rPr>
              <w:t>PrivChain</w:t>
            </w:r>
            <w:proofErr w:type="spellEnd"/>
            <w:r w:rsidRPr="009A79EE">
              <w:rPr>
                <w:sz w:val="21"/>
                <w:szCs w:val="21"/>
                <w:lang w:eastAsia="en-GB" w:bidi="bn-IN"/>
              </w:rPr>
              <w:t xml:space="preserve"> / </w:t>
            </w:r>
            <w:proofErr w:type="spellStart"/>
            <w:r w:rsidRPr="009A79EE">
              <w:rPr>
                <w:sz w:val="21"/>
                <w:szCs w:val="21"/>
                <w:lang w:eastAsia="en-GB" w:bidi="bn-IN"/>
              </w:rPr>
              <w:t>TradeChain</w:t>
            </w:r>
            <w:proofErr w:type="spellEnd"/>
          </w:p>
        </w:tc>
        <w:tc>
          <w:tcPr>
            <w:tcW w:w="1275" w:type="dxa"/>
            <w:hideMark/>
          </w:tcPr>
          <w:p w14:paraId="6B9FB88A" w14:textId="77777777" w:rsidR="009A79EE" w:rsidRPr="009A79EE" w:rsidRDefault="009A79EE" w:rsidP="009A79EE">
            <w:pPr>
              <w:rPr>
                <w:sz w:val="21"/>
                <w:szCs w:val="21"/>
                <w:lang w:eastAsia="en-GB" w:bidi="bn-IN"/>
              </w:rPr>
            </w:pPr>
            <w:r w:rsidRPr="009A79EE">
              <w:rPr>
                <w:sz w:val="21"/>
                <w:szCs w:val="21"/>
                <w:lang w:eastAsia="en-GB" w:bidi="bn-IN"/>
              </w:rPr>
              <w:t>Privacy-preserving provenance and identity decoupling</w:t>
            </w:r>
          </w:p>
        </w:tc>
        <w:tc>
          <w:tcPr>
            <w:tcW w:w="1020" w:type="dxa"/>
            <w:hideMark/>
          </w:tcPr>
          <w:p w14:paraId="6977697C" w14:textId="77777777" w:rsidR="009A79EE" w:rsidRPr="009A79EE" w:rsidRDefault="009A79EE" w:rsidP="009A79EE">
            <w:pPr>
              <w:rPr>
                <w:sz w:val="21"/>
                <w:szCs w:val="21"/>
                <w:lang w:eastAsia="en-GB" w:bidi="bn-IN"/>
              </w:rPr>
            </w:pPr>
            <w:r w:rsidRPr="009A79EE">
              <w:rPr>
                <w:sz w:val="21"/>
                <w:szCs w:val="21"/>
                <w:lang w:eastAsia="en-GB" w:bidi="bn-IN"/>
              </w:rPr>
              <w:t>Yes</w:t>
            </w:r>
          </w:p>
        </w:tc>
        <w:tc>
          <w:tcPr>
            <w:tcW w:w="1378" w:type="dxa"/>
            <w:hideMark/>
          </w:tcPr>
          <w:p w14:paraId="2516B4DB" w14:textId="77777777" w:rsidR="009A79EE" w:rsidRPr="009A79EE" w:rsidRDefault="009A79EE" w:rsidP="009A79EE">
            <w:pPr>
              <w:rPr>
                <w:sz w:val="21"/>
                <w:szCs w:val="21"/>
                <w:lang w:eastAsia="en-GB" w:bidi="bn-IN"/>
              </w:rPr>
            </w:pPr>
            <w:r w:rsidRPr="009A79EE">
              <w:rPr>
                <w:sz w:val="21"/>
                <w:szCs w:val="21"/>
                <w:lang w:eastAsia="en-GB" w:bidi="bn-IN"/>
              </w:rPr>
              <w:t>Yes</w:t>
            </w:r>
          </w:p>
        </w:tc>
        <w:tc>
          <w:tcPr>
            <w:tcW w:w="1237" w:type="dxa"/>
            <w:hideMark/>
          </w:tcPr>
          <w:p w14:paraId="7325043B" w14:textId="77777777" w:rsidR="009A79EE" w:rsidRPr="009A79EE" w:rsidRDefault="009A79EE" w:rsidP="009A79EE">
            <w:pPr>
              <w:rPr>
                <w:sz w:val="21"/>
                <w:szCs w:val="21"/>
                <w:lang w:eastAsia="en-GB" w:bidi="bn-IN"/>
              </w:rPr>
            </w:pPr>
            <w:r w:rsidRPr="009A79EE">
              <w:rPr>
                <w:sz w:val="21"/>
                <w:szCs w:val="21"/>
                <w:lang w:eastAsia="en-GB" w:bidi="bn-IN"/>
              </w:rPr>
              <w:t>Yes</w:t>
            </w:r>
          </w:p>
        </w:tc>
        <w:tc>
          <w:tcPr>
            <w:tcW w:w="1272" w:type="dxa"/>
            <w:hideMark/>
          </w:tcPr>
          <w:p w14:paraId="6E2040FE" w14:textId="77777777" w:rsidR="009A79EE" w:rsidRPr="009A79EE" w:rsidRDefault="009A79EE" w:rsidP="009A79EE">
            <w:pPr>
              <w:rPr>
                <w:sz w:val="21"/>
                <w:szCs w:val="21"/>
                <w:lang w:eastAsia="en-GB" w:bidi="bn-IN"/>
              </w:rPr>
            </w:pPr>
            <w:r w:rsidRPr="009A79EE">
              <w:rPr>
                <w:sz w:val="21"/>
                <w:szCs w:val="21"/>
                <w:lang w:eastAsia="en-GB" w:bidi="bn-IN"/>
              </w:rPr>
              <w:t>Not mineral-specific</w:t>
            </w:r>
          </w:p>
        </w:tc>
        <w:tc>
          <w:tcPr>
            <w:tcW w:w="1433" w:type="dxa"/>
            <w:hideMark/>
          </w:tcPr>
          <w:p w14:paraId="666A5053" w14:textId="77777777" w:rsidR="009A79EE" w:rsidRPr="009A79EE" w:rsidRDefault="009A79EE" w:rsidP="009A79EE">
            <w:pPr>
              <w:rPr>
                <w:sz w:val="21"/>
                <w:szCs w:val="21"/>
                <w:lang w:eastAsia="en-GB" w:bidi="bn-IN"/>
              </w:rPr>
            </w:pPr>
            <w:r w:rsidRPr="009A79EE">
              <w:rPr>
                <w:sz w:val="21"/>
                <w:szCs w:val="21"/>
                <w:lang w:eastAsia="en-GB" w:bidi="bn-IN"/>
              </w:rPr>
              <w:t>No</w:t>
            </w:r>
          </w:p>
        </w:tc>
        <w:tc>
          <w:tcPr>
            <w:tcW w:w="1453" w:type="dxa"/>
            <w:hideMark/>
          </w:tcPr>
          <w:p w14:paraId="17986A54" w14:textId="77777777" w:rsidR="009A79EE" w:rsidRPr="009A79EE" w:rsidRDefault="009A79EE" w:rsidP="009A79EE">
            <w:pPr>
              <w:rPr>
                <w:sz w:val="21"/>
                <w:szCs w:val="21"/>
                <w:lang w:eastAsia="en-GB" w:bidi="bn-IN"/>
              </w:rPr>
            </w:pPr>
            <w:r w:rsidRPr="009A79EE">
              <w:rPr>
                <w:sz w:val="21"/>
                <w:szCs w:val="21"/>
                <w:lang w:eastAsia="en-GB" w:bidi="bn-IN"/>
              </w:rPr>
              <w:t>Strong ZKP logic, but not designed for conflict mineral compliance chains or disputed batch handling (</w:t>
            </w:r>
            <w:hyperlink r:id="rId9" w:tooltip="PrivChain: Provenance and Privacy Preservation in ..." w:history="1">
              <w:r w:rsidRPr="009A79EE">
                <w:rPr>
                  <w:rStyle w:val="Hyperlink"/>
                  <w:sz w:val="21"/>
                  <w:szCs w:val="21"/>
                  <w:lang w:eastAsia="en-GB" w:bidi="bn-IN"/>
                </w:rPr>
                <w:t>IEEE Com</w:t>
              </w:r>
              <w:r w:rsidRPr="009A79EE">
                <w:rPr>
                  <w:rStyle w:val="Hyperlink"/>
                  <w:sz w:val="21"/>
                  <w:szCs w:val="21"/>
                  <w:lang w:eastAsia="en-GB" w:bidi="bn-IN"/>
                </w:rPr>
                <w:t>p</w:t>
              </w:r>
              <w:r w:rsidRPr="009A79EE">
                <w:rPr>
                  <w:rStyle w:val="Hyperlink"/>
                  <w:sz w:val="21"/>
                  <w:szCs w:val="21"/>
                  <w:lang w:eastAsia="en-GB" w:bidi="bn-IN"/>
                </w:rPr>
                <w:t>uter Society</w:t>
              </w:r>
            </w:hyperlink>
            <w:r w:rsidRPr="009A79EE">
              <w:rPr>
                <w:sz w:val="21"/>
                <w:szCs w:val="21"/>
                <w:lang w:eastAsia="en-GB" w:bidi="bn-IN"/>
              </w:rPr>
              <w:t>)</w:t>
            </w:r>
          </w:p>
        </w:tc>
      </w:tr>
      <w:tr w:rsidR="009A79EE" w:rsidRPr="009A79EE" w14:paraId="0A16195C" w14:textId="77777777" w:rsidTr="00DE20ED">
        <w:tc>
          <w:tcPr>
            <w:tcW w:w="1241" w:type="dxa"/>
            <w:hideMark/>
          </w:tcPr>
          <w:p w14:paraId="595BE778" w14:textId="77777777" w:rsidR="009A79EE" w:rsidRPr="009A79EE" w:rsidRDefault="009A79EE" w:rsidP="009A79EE">
            <w:pPr>
              <w:rPr>
                <w:sz w:val="21"/>
                <w:szCs w:val="21"/>
                <w:lang w:eastAsia="en-GB" w:bidi="bn-IN"/>
              </w:rPr>
            </w:pPr>
            <w:r w:rsidRPr="009A79EE">
              <w:rPr>
                <w:sz w:val="21"/>
                <w:szCs w:val="21"/>
                <w:lang w:eastAsia="en-GB" w:bidi="bn-IN"/>
              </w:rPr>
              <w:t>BT-CMRS (this work)</w:t>
            </w:r>
          </w:p>
        </w:tc>
        <w:tc>
          <w:tcPr>
            <w:tcW w:w="1275" w:type="dxa"/>
            <w:hideMark/>
          </w:tcPr>
          <w:p w14:paraId="35CBB9C4" w14:textId="77777777" w:rsidR="009A79EE" w:rsidRPr="009A79EE" w:rsidRDefault="009A79EE" w:rsidP="009A79EE">
            <w:pPr>
              <w:rPr>
                <w:sz w:val="21"/>
                <w:szCs w:val="21"/>
                <w:lang w:eastAsia="en-GB" w:bidi="bn-IN"/>
              </w:rPr>
            </w:pPr>
            <w:r w:rsidRPr="009A79EE">
              <w:rPr>
                <w:sz w:val="21"/>
                <w:szCs w:val="21"/>
                <w:lang w:eastAsia="en-GB" w:bidi="bn-IN"/>
              </w:rPr>
              <w:t>Conflict mineral traceability + reacquisition</w:t>
            </w:r>
          </w:p>
        </w:tc>
        <w:tc>
          <w:tcPr>
            <w:tcW w:w="1020" w:type="dxa"/>
            <w:hideMark/>
          </w:tcPr>
          <w:p w14:paraId="63A25F81" w14:textId="77777777" w:rsidR="009A79EE" w:rsidRPr="009A79EE" w:rsidRDefault="009A79EE" w:rsidP="009A79EE">
            <w:pPr>
              <w:rPr>
                <w:sz w:val="21"/>
                <w:szCs w:val="21"/>
                <w:lang w:eastAsia="en-GB" w:bidi="bn-IN"/>
              </w:rPr>
            </w:pPr>
            <w:r w:rsidRPr="009A79EE">
              <w:rPr>
                <w:sz w:val="21"/>
                <w:szCs w:val="21"/>
                <w:lang w:eastAsia="en-GB" w:bidi="bn-IN"/>
              </w:rPr>
              <w:t>Yes</w:t>
            </w:r>
          </w:p>
        </w:tc>
        <w:tc>
          <w:tcPr>
            <w:tcW w:w="1378" w:type="dxa"/>
            <w:hideMark/>
          </w:tcPr>
          <w:p w14:paraId="6736C6C1" w14:textId="77777777" w:rsidR="009A79EE" w:rsidRPr="009A79EE" w:rsidRDefault="009A79EE" w:rsidP="009A79EE">
            <w:pPr>
              <w:rPr>
                <w:sz w:val="21"/>
                <w:szCs w:val="21"/>
                <w:lang w:eastAsia="en-GB" w:bidi="bn-IN"/>
              </w:rPr>
            </w:pPr>
            <w:r w:rsidRPr="009A79EE">
              <w:rPr>
                <w:sz w:val="21"/>
                <w:szCs w:val="21"/>
                <w:lang w:eastAsia="en-GB" w:bidi="bn-IN"/>
              </w:rPr>
              <w:t>Yes</w:t>
            </w:r>
          </w:p>
        </w:tc>
        <w:tc>
          <w:tcPr>
            <w:tcW w:w="1237" w:type="dxa"/>
            <w:hideMark/>
          </w:tcPr>
          <w:p w14:paraId="3B73D3B9" w14:textId="77777777" w:rsidR="009A79EE" w:rsidRPr="009A79EE" w:rsidRDefault="009A79EE" w:rsidP="009A79EE">
            <w:pPr>
              <w:rPr>
                <w:sz w:val="21"/>
                <w:szCs w:val="21"/>
                <w:lang w:eastAsia="en-GB" w:bidi="bn-IN"/>
              </w:rPr>
            </w:pPr>
            <w:r w:rsidRPr="009A79EE">
              <w:rPr>
                <w:sz w:val="21"/>
                <w:szCs w:val="21"/>
                <w:lang w:eastAsia="en-GB" w:bidi="bn-IN"/>
              </w:rPr>
              <w:t>Yes</w:t>
            </w:r>
          </w:p>
        </w:tc>
        <w:tc>
          <w:tcPr>
            <w:tcW w:w="1272" w:type="dxa"/>
            <w:hideMark/>
          </w:tcPr>
          <w:p w14:paraId="658E327A" w14:textId="77777777" w:rsidR="009A79EE" w:rsidRPr="009A79EE" w:rsidRDefault="009A79EE" w:rsidP="009A79EE">
            <w:pPr>
              <w:rPr>
                <w:sz w:val="21"/>
                <w:szCs w:val="21"/>
                <w:lang w:eastAsia="en-GB" w:bidi="bn-IN"/>
              </w:rPr>
            </w:pPr>
            <w:r w:rsidRPr="009A79EE">
              <w:rPr>
                <w:sz w:val="21"/>
                <w:szCs w:val="21"/>
                <w:lang w:eastAsia="en-GB" w:bidi="bn-IN"/>
              </w:rPr>
              <w:t>Yes</w:t>
            </w:r>
          </w:p>
        </w:tc>
        <w:tc>
          <w:tcPr>
            <w:tcW w:w="1433" w:type="dxa"/>
            <w:hideMark/>
          </w:tcPr>
          <w:p w14:paraId="1B335D18" w14:textId="77777777" w:rsidR="009A79EE" w:rsidRPr="009A79EE" w:rsidRDefault="009A79EE" w:rsidP="009A79EE">
            <w:pPr>
              <w:rPr>
                <w:sz w:val="21"/>
                <w:szCs w:val="21"/>
                <w:lang w:eastAsia="en-GB" w:bidi="bn-IN"/>
              </w:rPr>
            </w:pPr>
            <w:r w:rsidRPr="009A79EE">
              <w:rPr>
                <w:sz w:val="21"/>
                <w:szCs w:val="21"/>
                <w:lang w:eastAsia="en-GB" w:bidi="bn-IN"/>
              </w:rPr>
              <w:t>Yes</w:t>
            </w:r>
          </w:p>
        </w:tc>
        <w:tc>
          <w:tcPr>
            <w:tcW w:w="1453" w:type="dxa"/>
            <w:hideMark/>
          </w:tcPr>
          <w:p w14:paraId="1C873557" w14:textId="77777777" w:rsidR="009A79EE" w:rsidRPr="009A79EE" w:rsidRDefault="009A79EE" w:rsidP="009A79EE">
            <w:pPr>
              <w:rPr>
                <w:sz w:val="21"/>
                <w:szCs w:val="21"/>
                <w:lang w:eastAsia="en-GB" w:bidi="bn-IN"/>
              </w:rPr>
            </w:pPr>
            <w:r w:rsidRPr="009A79EE">
              <w:rPr>
                <w:sz w:val="21"/>
                <w:szCs w:val="21"/>
                <w:lang w:eastAsia="en-GB" w:bidi="bn-IN"/>
              </w:rPr>
              <w:t>Addresses the missing combination of region-based privacy, end-to-end validation, and automated reacquisition</w:t>
            </w:r>
          </w:p>
        </w:tc>
      </w:tr>
    </w:tbl>
    <w:p w14:paraId="2AB1AEBC" w14:textId="77777777" w:rsidR="00FF3C4D" w:rsidRDefault="00FF3C4D" w:rsidP="009A79EE">
      <w:pPr>
        <w:rPr>
          <w:sz w:val="21"/>
          <w:szCs w:val="21"/>
        </w:rPr>
      </w:pPr>
    </w:p>
    <w:p w14:paraId="20310467" w14:textId="77777777" w:rsidR="009A79EE" w:rsidRDefault="009A79EE" w:rsidP="009A79EE">
      <w:pPr>
        <w:rPr>
          <w:sz w:val="21"/>
          <w:szCs w:val="21"/>
        </w:rPr>
      </w:pPr>
    </w:p>
    <w:p w14:paraId="15C0CB66" w14:textId="77777777" w:rsidR="009A79EE" w:rsidRDefault="009A79EE" w:rsidP="009A79EE">
      <w:pPr>
        <w:rPr>
          <w:sz w:val="21"/>
          <w:szCs w:val="21"/>
        </w:rPr>
      </w:pPr>
    </w:p>
    <w:p w14:paraId="3E552C0F" w14:textId="77777777" w:rsidR="009A79EE" w:rsidRPr="009A79EE" w:rsidRDefault="009A79EE" w:rsidP="009A79EE">
      <w:pPr>
        <w:shd w:val="clear" w:color="auto" w:fill="FFFFFF"/>
        <w:spacing w:after="0" w:line="420" w:lineRule="atLeast"/>
        <w:textAlignment w:val="baseline"/>
        <w:outlineLvl w:val="1"/>
        <w:rPr>
          <w:rFonts w:ascii="Segoe UI" w:eastAsia="Times New Roman" w:hAnsi="Segoe UI" w:cs="Segoe UI"/>
          <w:b/>
          <w:bCs/>
          <w:kern w:val="0"/>
          <w:sz w:val="27"/>
          <w:szCs w:val="27"/>
          <w:lang w:eastAsia="en-GB" w:bidi="bn-IN"/>
          <w14:ligatures w14:val="none"/>
        </w:rPr>
      </w:pPr>
      <w:r w:rsidRPr="009A79EE">
        <w:rPr>
          <w:rFonts w:ascii="inherit" w:eastAsia="Times New Roman" w:hAnsi="inherit" w:cs="Segoe UI"/>
          <w:b/>
          <w:bCs/>
          <w:kern w:val="0"/>
          <w:sz w:val="27"/>
          <w:szCs w:val="27"/>
          <w:bdr w:val="none" w:sz="0" w:space="0" w:color="auto" w:frame="1"/>
          <w:lang w:eastAsia="en-GB" w:bidi="bn-IN"/>
          <w14:ligatures w14:val="none"/>
        </w:rPr>
        <w:t>References (for Section 2)</w:t>
      </w:r>
    </w:p>
    <w:p w14:paraId="6488222D" w14:textId="77777777" w:rsidR="009A79EE" w:rsidRPr="009A79EE" w:rsidRDefault="009A79EE" w:rsidP="009A79EE">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9A79EE">
        <w:rPr>
          <w:rFonts w:ascii="Segoe UI" w:eastAsia="Times New Roman" w:hAnsi="Segoe UI" w:cs="Segoe UI"/>
          <w:kern w:val="0"/>
          <w:lang w:eastAsia="en-GB" w:bidi="bn-IN"/>
          <w14:ligatures w14:val="none"/>
        </w:rPr>
        <w:t xml:space="preserve">[2] OECD, "OECD Due Diligence Guidance for Responsible Supply Chains of Minerals from Conflict-Affected and High-Risk Areas," </w:t>
      </w:r>
      <w:r w:rsidRPr="009A79EE">
        <w:rPr>
          <w:rFonts w:ascii="inherit" w:eastAsia="Times New Roman" w:hAnsi="inherit" w:cs="Segoe UI"/>
          <w:i/>
          <w:iCs/>
          <w:kern w:val="0"/>
          <w:bdr w:val="none" w:sz="0" w:space="0" w:color="auto" w:frame="1"/>
          <w:lang w:eastAsia="en-GB" w:bidi="bn-IN"/>
          <w14:ligatures w14:val="none"/>
        </w:rPr>
        <w:t>3rd Edition</w:t>
      </w:r>
      <w:r w:rsidRPr="009A79EE">
        <w:rPr>
          <w:rFonts w:ascii="Segoe UI" w:eastAsia="Times New Roman" w:hAnsi="Segoe UI" w:cs="Segoe UI"/>
          <w:kern w:val="0"/>
          <w:lang w:eastAsia="en-GB" w:bidi="bn-IN"/>
          <w14:ligatures w14:val="none"/>
        </w:rPr>
        <w:t>, Paris: OECD Publishing, 2023.</w:t>
      </w:r>
    </w:p>
    <w:p w14:paraId="5593F34F" w14:textId="77777777" w:rsidR="009A79EE" w:rsidRPr="009A79EE" w:rsidRDefault="009A79EE" w:rsidP="009A79EE">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9A79EE">
        <w:rPr>
          <w:rFonts w:ascii="Segoe UI" w:eastAsia="Times New Roman" w:hAnsi="Segoe UI" w:cs="Segoe UI"/>
          <w:kern w:val="0"/>
          <w:lang w:eastAsia="en-GB" w:bidi="bn-IN"/>
          <w14:ligatures w14:val="none"/>
        </w:rPr>
        <w:t xml:space="preserve">[6] </w:t>
      </w:r>
      <w:proofErr w:type="spellStart"/>
      <w:r w:rsidRPr="009A79EE">
        <w:rPr>
          <w:rFonts w:ascii="Segoe UI" w:eastAsia="Times New Roman" w:hAnsi="Segoe UI" w:cs="Segoe UI"/>
          <w:kern w:val="0"/>
          <w:lang w:eastAsia="en-GB" w:bidi="bn-IN"/>
          <w14:ligatures w14:val="none"/>
        </w:rPr>
        <w:t>iTSCi</w:t>
      </w:r>
      <w:proofErr w:type="spellEnd"/>
      <w:r w:rsidRPr="009A79EE">
        <w:rPr>
          <w:rFonts w:ascii="Segoe UI" w:eastAsia="Times New Roman" w:hAnsi="Segoe UI" w:cs="Segoe UI"/>
          <w:kern w:val="0"/>
          <w:lang w:eastAsia="en-GB" w:bidi="bn-IN"/>
          <w14:ligatures w14:val="none"/>
        </w:rPr>
        <w:t xml:space="preserve">, "ITSCI Alignment Assessment Report," </w:t>
      </w:r>
      <w:r w:rsidRPr="009A79EE">
        <w:rPr>
          <w:rFonts w:ascii="inherit" w:eastAsia="Times New Roman" w:hAnsi="inherit" w:cs="Segoe UI"/>
          <w:i/>
          <w:iCs/>
          <w:kern w:val="0"/>
          <w:bdr w:val="none" w:sz="0" w:space="0" w:color="auto" w:frame="1"/>
          <w:lang w:eastAsia="en-GB" w:bidi="bn-IN"/>
          <w14:ligatures w14:val="none"/>
        </w:rPr>
        <w:t>Internal Review</w:t>
      </w:r>
      <w:r w:rsidRPr="009A79EE">
        <w:rPr>
          <w:rFonts w:ascii="Segoe UI" w:eastAsia="Times New Roman" w:hAnsi="Segoe UI" w:cs="Segoe UI"/>
          <w:kern w:val="0"/>
          <w:lang w:eastAsia="en-GB" w:bidi="bn-IN"/>
          <w14:ligatures w14:val="none"/>
        </w:rPr>
        <w:t>, Sep. 2024.</w:t>
      </w:r>
    </w:p>
    <w:p w14:paraId="27EA0B2C" w14:textId="77777777" w:rsidR="009A79EE" w:rsidRPr="009A79EE" w:rsidRDefault="009A79EE" w:rsidP="009A79EE">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9A79EE">
        <w:rPr>
          <w:rFonts w:ascii="Segoe UI" w:eastAsia="Times New Roman" w:hAnsi="Segoe UI" w:cs="Segoe UI"/>
          <w:kern w:val="0"/>
          <w:lang w:eastAsia="en-GB" w:bidi="bn-IN"/>
          <w14:ligatures w14:val="none"/>
        </w:rPr>
        <w:lastRenderedPageBreak/>
        <w:t xml:space="preserve">[12] P. Rani </w:t>
      </w:r>
      <w:r w:rsidRPr="009A79EE">
        <w:rPr>
          <w:rFonts w:ascii="inherit" w:eastAsia="Times New Roman" w:hAnsi="inherit" w:cs="Segoe UI"/>
          <w:i/>
          <w:iCs/>
          <w:kern w:val="0"/>
          <w:bdr w:val="none" w:sz="0" w:space="0" w:color="auto" w:frame="1"/>
          <w:lang w:eastAsia="en-GB" w:bidi="bn-IN"/>
          <w14:ligatures w14:val="none"/>
        </w:rPr>
        <w:t>et al.</w:t>
      </w:r>
      <w:r w:rsidRPr="009A79EE">
        <w:rPr>
          <w:rFonts w:ascii="Segoe UI" w:eastAsia="Times New Roman" w:hAnsi="Segoe UI" w:cs="Segoe UI"/>
          <w:kern w:val="0"/>
          <w:lang w:eastAsia="en-GB" w:bidi="bn-IN"/>
          <w14:ligatures w14:val="none"/>
        </w:rPr>
        <w:t xml:space="preserve">, "BT-CSRS: A decentralized and distributed solution for sustainable seafood supply chain system utilizing zero-knowledge proofs and permissionless blockchain," </w:t>
      </w:r>
      <w:r w:rsidRPr="009A79EE">
        <w:rPr>
          <w:rFonts w:ascii="inherit" w:eastAsia="Times New Roman" w:hAnsi="inherit" w:cs="Segoe UI"/>
          <w:i/>
          <w:iCs/>
          <w:kern w:val="0"/>
          <w:bdr w:val="none" w:sz="0" w:space="0" w:color="auto" w:frame="1"/>
          <w:lang w:eastAsia="en-GB" w:bidi="bn-IN"/>
          <w14:ligatures w14:val="none"/>
        </w:rPr>
        <w:t>Peer-to-Peer Networking and Applications</w:t>
      </w:r>
      <w:r w:rsidRPr="009A79EE">
        <w:rPr>
          <w:rFonts w:ascii="Segoe UI" w:eastAsia="Times New Roman" w:hAnsi="Segoe UI" w:cs="Segoe UI"/>
          <w:kern w:val="0"/>
          <w:lang w:eastAsia="en-GB" w:bidi="bn-IN"/>
          <w14:ligatures w14:val="none"/>
        </w:rPr>
        <w:t>, vol. 18, no. 6, pp. 1–25, 2025.</w:t>
      </w:r>
    </w:p>
    <w:p w14:paraId="58BB58EC" w14:textId="77777777" w:rsidR="009A79EE" w:rsidRPr="009A79EE" w:rsidRDefault="009A79EE" w:rsidP="009A79EE">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9A79EE">
        <w:rPr>
          <w:rFonts w:ascii="Segoe UI" w:eastAsia="Times New Roman" w:hAnsi="Segoe UI" w:cs="Segoe UI"/>
          <w:kern w:val="0"/>
          <w:lang w:eastAsia="en-GB" w:bidi="bn-IN"/>
          <w14:ligatures w14:val="none"/>
        </w:rPr>
        <w:t xml:space="preserve">[16] H. N. Reddy and K. Vijaylakshmi, "Privacy Preserving Supply Chain Traceability: Leveraging Zero Knowledge Proofs in Blockchain Networks," </w:t>
      </w:r>
      <w:r w:rsidRPr="009A79EE">
        <w:rPr>
          <w:rFonts w:ascii="inherit" w:eastAsia="Times New Roman" w:hAnsi="inherit" w:cs="Segoe UI"/>
          <w:i/>
          <w:iCs/>
          <w:kern w:val="0"/>
          <w:bdr w:val="none" w:sz="0" w:space="0" w:color="auto" w:frame="1"/>
          <w:lang w:eastAsia="en-GB" w:bidi="bn-IN"/>
          <w14:ligatures w14:val="none"/>
        </w:rPr>
        <w:t>Journal of Blockchain Systems and Smart Contracts</w:t>
      </w:r>
      <w:r w:rsidRPr="009A79EE">
        <w:rPr>
          <w:rFonts w:ascii="Segoe UI" w:eastAsia="Times New Roman" w:hAnsi="Segoe UI" w:cs="Segoe UI"/>
          <w:kern w:val="0"/>
          <w:lang w:eastAsia="en-GB" w:bidi="bn-IN"/>
          <w14:ligatures w14:val="none"/>
        </w:rPr>
        <w:t>, vol. 1, no. 1, pp. 31-45, 2025.</w:t>
      </w:r>
    </w:p>
    <w:p w14:paraId="264F2995" w14:textId="77777777" w:rsidR="009A79EE" w:rsidRPr="009A79EE" w:rsidRDefault="009A79EE" w:rsidP="009A79EE">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9A79EE">
        <w:rPr>
          <w:rFonts w:ascii="Segoe UI" w:eastAsia="Times New Roman" w:hAnsi="Segoe UI" w:cs="Segoe UI"/>
          <w:kern w:val="0"/>
          <w:lang w:eastAsia="en-GB" w:bidi="bn-IN"/>
          <w14:ligatures w14:val="none"/>
        </w:rPr>
        <w:t xml:space="preserve">[33] European Parliament, "Traceability of critical raw materials, with a focus on Africa," </w:t>
      </w:r>
      <w:r w:rsidRPr="009A79EE">
        <w:rPr>
          <w:rFonts w:ascii="inherit" w:eastAsia="Times New Roman" w:hAnsi="inherit" w:cs="Segoe UI"/>
          <w:i/>
          <w:iCs/>
          <w:kern w:val="0"/>
          <w:bdr w:val="none" w:sz="0" w:space="0" w:color="auto" w:frame="1"/>
          <w:lang w:eastAsia="en-GB" w:bidi="bn-IN"/>
          <w14:ligatures w14:val="none"/>
        </w:rPr>
        <w:t>Policy Department for External Relations</w:t>
      </w:r>
      <w:r w:rsidRPr="009A79EE">
        <w:rPr>
          <w:rFonts w:ascii="Segoe UI" w:eastAsia="Times New Roman" w:hAnsi="Segoe UI" w:cs="Segoe UI"/>
          <w:kern w:val="0"/>
          <w:lang w:eastAsia="en-GB" w:bidi="bn-IN"/>
          <w14:ligatures w14:val="none"/>
        </w:rPr>
        <w:t>, 2024.</w:t>
      </w:r>
    </w:p>
    <w:p w14:paraId="45FAF66C" w14:textId="77777777" w:rsidR="009A79EE" w:rsidRPr="009A79EE" w:rsidRDefault="009A79EE" w:rsidP="009A79EE">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9A79EE">
        <w:rPr>
          <w:rFonts w:ascii="Segoe UI" w:eastAsia="Times New Roman" w:hAnsi="Segoe UI" w:cs="Segoe UI"/>
          <w:kern w:val="0"/>
          <w:lang w:eastAsia="en-GB" w:bidi="bn-IN"/>
          <w14:ligatures w14:val="none"/>
        </w:rPr>
        <w:t>[37] Hyperledger Foundation, "</w:t>
      </w:r>
      <w:proofErr w:type="spellStart"/>
      <w:r w:rsidRPr="009A79EE">
        <w:rPr>
          <w:rFonts w:ascii="Segoe UI" w:eastAsia="Times New Roman" w:hAnsi="Segoe UI" w:cs="Segoe UI"/>
          <w:kern w:val="0"/>
          <w:lang w:eastAsia="en-GB" w:bidi="bn-IN"/>
          <w14:ligatures w14:val="none"/>
        </w:rPr>
        <w:t>Circulor</w:t>
      </w:r>
      <w:proofErr w:type="spellEnd"/>
      <w:r w:rsidRPr="009A79EE">
        <w:rPr>
          <w:rFonts w:ascii="Segoe UI" w:eastAsia="Times New Roman" w:hAnsi="Segoe UI" w:cs="Segoe UI"/>
          <w:kern w:val="0"/>
          <w:lang w:eastAsia="en-GB" w:bidi="bn-IN"/>
          <w14:ligatures w14:val="none"/>
        </w:rPr>
        <w:t xml:space="preserve"> Achieves First Ever Mine to Manufacturer Traceability of a Conflict Mineral Using Hyperledger Fabric," </w:t>
      </w:r>
      <w:r w:rsidRPr="009A79EE">
        <w:rPr>
          <w:rFonts w:ascii="inherit" w:eastAsia="Times New Roman" w:hAnsi="inherit" w:cs="Segoe UI"/>
          <w:i/>
          <w:iCs/>
          <w:kern w:val="0"/>
          <w:bdr w:val="none" w:sz="0" w:space="0" w:color="auto" w:frame="1"/>
          <w:lang w:eastAsia="en-GB" w:bidi="bn-IN"/>
          <w14:ligatures w14:val="none"/>
        </w:rPr>
        <w:t>Case Study</w:t>
      </w:r>
      <w:r w:rsidRPr="009A79EE">
        <w:rPr>
          <w:rFonts w:ascii="Segoe UI" w:eastAsia="Times New Roman" w:hAnsi="Segoe UI" w:cs="Segoe UI"/>
          <w:kern w:val="0"/>
          <w:lang w:eastAsia="en-GB" w:bidi="bn-IN"/>
          <w14:ligatures w14:val="none"/>
        </w:rPr>
        <w:t>, 2023.</w:t>
      </w:r>
    </w:p>
    <w:p w14:paraId="47CC570A" w14:textId="77777777" w:rsidR="009A79EE" w:rsidRPr="009A79EE" w:rsidRDefault="009A79EE" w:rsidP="009A79EE">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9A79EE">
        <w:rPr>
          <w:rFonts w:ascii="Segoe UI" w:eastAsia="Times New Roman" w:hAnsi="Segoe UI" w:cs="Segoe UI"/>
          <w:kern w:val="0"/>
          <w:lang w:eastAsia="en-GB" w:bidi="bn-IN"/>
          <w14:ligatures w14:val="none"/>
        </w:rPr>
        <w:t xml:space="preserve">[41] Google Sustainability, "Supplier Responsibility: </w:t>
      </w:r>
      <w:proofErr w:type="spellStart"/>
      <w:r w:rsidRPr="009A79EE">
        <w:rPr>
          <w:rFonts w:ascii="Segoe UI" w:eastAsia="Times New Roman" w:hAnsi="Segoe UI" w:cs="Segoe UI"/>
          <w:kern w:val="0"/>
          <w:lang w:eastAsia="en-GB" w:bidi="bn-IN"/>
          <w14:ligatures w14:val="none"/>
        </w:rPr>
        <w:t>Blockchaining</w:t>
      </w:r>
      <w:proofErr w:type="spellEnd"/>
      <w:r w:rsidRPr="009A79EE">
        <w:rPr>
          <w:rFonts w:ascii="Segoe UI" w:eastAsia="Times New Roman" w:hAnsi="Segoe UI" w:cs="Segoe UI"/>
          <w:kern w:val="0"/>
          <w:lang w:eastAsia="en-GB" w:bidi="bn-IN"/>
          <w14:ligatures w14:val="none"/>
        </w:rPr>
        <w:t xml:space="preserve">," </w:t>
      </w:r>
      <w:r w:rsidRPr="009A79EE">
        <w:rPr>
          <w:rFonts w:ascii="inherit" w:eastAsia="Times New Roman" w:hAnsi="inherit" w:cs="Segoe UI"/>
          <w:i/>
          <w:iCs/>
          <w:kern w:val="0"/>
          <w:bdr w:val="none" w:sz="0" w:space="0" w:color="auto" w:frame="1"/>
          <w:lang w:eastAsia="en-GB" w:bidi="bn-IN"/>
          <w14:ligatures w14:val="none"/>
        </w:rPr>
        <w:t>Google Sustainability Report</w:t>
      </w:r>
      <w:r w:rsidRPr="009A79EE">
        <w:rPr>
          <w:rFonts w:ascii="Segoe UI" w:eastAsia="Times New Roman" w:hAnsi="Segoe UI" w:cs="Segoe UI"/>
          <w:kern w:val="0"/>
          <w:lang w:eastAsia="en-GB" w:bidi="bn-IN"/>
          <w14:ligatures w14:val="none"/>
        </w:rPr>
        <w:t>, 2024.</w:t>
      </w:r>
    </w:p>
    <w:p w14:paraId="0533F141" w14:textId="77777777" w:rsidR="009A79EE" w:rsidRPr="009A79EE" w:rsidRDefault="009A79EE" w:rsidP="009A79EE">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9A79EE">
        <w:rPr>
          <w:rFonts w:ascii="Segoe UI" w:eastAsia="Times New Roman" w:hAnsi="Segoe UI" w:cs="Segoe UI"/>
          <w:kern w:val="0"/>
          <w:lang w:eastAsia="en-GB" w:bidi="bn-IN"/>
          <w14:ligatures w14:val="none"/>
        </w:rPr>
        <w:t xml:space="preserve">[46] A. G. Mamaghani, "Zero-Knowledge-Based Policy Enforcement for Privacy-Preserving Cross-Institutional Health Data Sharing on Blockchain," </w:t>
      </w:r>
      <w:r w:rsidRPr="009A79EE">
        <w:rPr>
          <w:rFonts w:ascii="inherit" w:eastAsia="Times New Roman" w:hAnsi="inherit" w:cs="Segoe UI"/>
          <w:i/>
          <w:iCs/>
          <w:kern w:val="0"/>
          <w:bdr w:val="none" w:sz="0" w:space="0" w:color="auto" w:frame="1"/>
          <w:lang w:eastAsia="en-GB" w:bidi="bn-IN"/>
          <w14:ligatures w14:val="none"/>
        </w:rPr>
        <w:t>Systems</w:t>
      </w:r>
      <w:r w:rsidRPr="009A79EE">
        <w:rPr>
          <w:rFonts w:ascii="Segoe UI" w:eastAsia="Times New Roman" w:hAnsi="Segoe UI" w:cs="Segoe UI"/>
          <w:kern w:val="0"/>
          <w:lang w:eastAsia="en-GB" w:bidi="bn-IN"/>
          <w14:ligatures w14:val="none"/>
        </w:rPr>
        <w:t>, vol. 14, no. 4, p. 385, 2026.</w:t>
      </w:r>
    </w:p>
    <w:p w14:paraId="34BAFD31" w14:textId="77777777" w:rsidR="009A79EE" w:rsidRPr="009A79EE" w:rsidRDefault="009A79EE" w:rsidP="009A79EE">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9A79EE">
        <w:rPr>
          <w:rFonts w:ascii="Segoe UI" w:eastAsia="Times New Roman" w:hAnsi="Segoe UI" w:cs="Segoe UI"/>
          <w:kern w:val="0"/>
          <w:lang w:eastAsia="en-GB" w:bidi="bn-IN"/>
          <w14:ligatures w14:val="none"/>
        </w:rPr>
        <w:t xml:space="preserve">[48] </w:t>
      </w:r>
      <w:proofErr w:type="spellStart"/>
      <w:r w:rsidRPr="009A79EE">
        <w:rPr>
          <w:rFonts w:ascii="Segoe UI" w:eastAsia="Times New Roman" w:hAnsi="Segoe UI" w:cs="Segoe UI"/>
          <w:kern w:val="0"/>
          <w:lang w:eastAsia="en-GB" w:bidi="bn-IN"/>
          <w14:ligatures w14:val="none"/>
        </w:rPr>
        <w:t>Meegle</w:t>
      </w:r>
      <w:proofErr w:type="spellEnd"/>
      <w:r w:rsidRPr="009A79EE">
        <w:rPr>
          <w:rFonts w:ascii="Segoe UI" w:eastAsia="Times New Roman" w:hAnsi="Segoe UI" w:cs="Segoe UI"/>
          <w:kern w:val="0"/>
          <w:lang w:eastAsia="en-GB" w:bidi="bn-IN"/>
          <w14:ligatures w14:val="none"/>
        </w:rPr>
        <w:t xml:space="preserve">, "Zero-Knowledge Proof </w:t>
      </w:r>
      <w:proofErr w:type="gramStart"/>
      <w:r w:rsidRPr="009A79EE">
        <w:rPr>
          <w:rFonts w:ascii="Segoe UI" w:eastAsia="Times New Roman" w:hAnsi="Segoe UI" w:cs="Segoe UI"/>
          <w:kern w:val="0"/>
          <w:lang w:eastAsia="en-GB" w:bidi="bn-IN"/>
          <w14:ligatures w14:val="none"/>
        </w:rPr>
        <w:t>In</w:t>
      </w:r>
      <w:proofErr w:type="gramEnd"/>
      <w:r w:rsidRPr="009A79EE">
        <w:rPr>
          <w:rFonts w:ascii="Segoe UI" w:eastAsia="Times New Roman" w:hAnsi="Segoe UI" w:cs="Segoe UI"/>
          <w:kern w:val="0"/>
          <w:lang w:eastAsia="en-GB" w:bidi="bn-IN"/>
          <w14:ligatures w14:val="none"/>
        </w:rPr>
        <w:t xml:space="preserve"> Healthcare," </w:t>
      </w:r>
      <w:r w:rsidRPr="009A79EE">
        <w:rPr>
          <w:rFonts w:ascii="inherit" w:eastAsia="Times New Roman" w:hAnsi="inherit" w:cs="Segoe UI"/>
          <w:i/>
          <w:iCs/>
          <w:kern w:val="0"/>
          <w:bdr w:val="none" w:sz="0" w:space="0" w:color="auto" w:frame="1"/>
          <w:lang w:eastAsia="en-GB" w:bidi="bn-IN"/>
          <w14:ligatures w14:val="none"/>
        </w:rPr>
        <w:t>Healthcare Technology Review</w:t>
      </w:r>
      <w:r w:rsidRPr="009A79EE">
        <w:rPr>
          <w:rFonts w:ascii="Segoe UI" w:eastAsia="Times New Roman" w:hAnsi="Segoe UI" w:cs="Segoe UI"/>
          <w:kern w:val="0"/>
          <w:lang w:eastAsia="en-GB" w:bidi="bn-IN"/>
          <w14:ligatures w14:val="none"/>
        </w:rPr>
        <w:t>, 2026.</w:t>
      </w:r>
    </w:p>
    <w:p w14:paraId="04900B95" w14:textId="77777777" w:rsidR="009A79EE" w:rsidRPr="009A79EE" w:rsidRDefault="009A79EE" w:rsidP="009A79EE">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9A79EE">
        <w:rPr>
          <w:rFonts w:ascii="Segoe UI" w:eastAsia="Times New Roman" w:hAnsi="Segoe UI" w:cs="Segoe UI"/>
          <w:kern w:val="0"/>
          <w:lang w:eastAsia="en-GB" w:bidi="bn-IN"/>
          <w14:ligatures w14:val="none"/>
        </w:rPr>
        <w:t xml:space="preserve">[49] A. S. Abdullah and A. A. Abdullah, "Ethical AI in Healthcare: Integrating Zero-Knowledge Proofs and Smart Contracts for Transparent Data Governance," </w:t>
      </w:r>
      <w:r w:rsidRPr="009A79EE">
        <w:rPr>
          <w:rFonts w:ascii="inherit" w:eastAsia="Times New Roman" w:hAnsi="inherit" w:cs="Segoe UI"/>
          <w:i/>
          <w:iCs/>
          <w:kern w:val="0"/>
          <w:bdr w:val="none" w:sz="0" w:space="0" w:color="auto" w:frame="1"/>
          <w:lang w:eastAsia="en-GB" w:bidi="bn-IN"/>
          <w14:ligatures w14:val="none"/>
        </w:rPr>
        <w:t>PMC</w:t>
      </w:r>
      <w:r w:rsidRPr="009A79EE">
        <w:rPr>
          <w:rFonts w:ascii="Segoe UI" w:eastAsia="Times New Roman" w:hAnsi="Segoe UI" w:cs="Segoe UI"/>
          <w:kern w:val="0"/>
          <w:lang w:eastAsia="en-GB" w:bidi="bn-IN"/>
          <w14:ligatures w14:val="none"/>
        </w:rPr>
        <w:t>, Nov. 2024.</w:t>
      </w:r>
    </w:p>
    <w:p w14:paraId="2519113F" w14:textId="77777777" w:rsidR="009A79EE" w:rsidRPr="009A79EE" w:rsidRDefault="009A79EE" w:rsidP="009A79EE">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9A79EE">
        <w:rPr>
          <w:rFonts w:ascii="Segoe UI" w:eastAsia="Times New Roman" w:hAnsi="Segoe UI" w:cs="Segoe UI"/>
          <w:kern w:val="0"/>
          <w:lang w:eastAsia="en-GB" w:bidi="bn-IN"/>
          <w14:ligatures w14:val="none"/>
        </w:rPr>
        <w:t xml:space="preserve">[50] Ö. Karaduman and G. </w:t>
      </w:r>
      <w:proofErr w:type="spellStart"/>
      <w:r w:rsidRPr="009A79EE">
        <w:rPr>
          <w:rFonts w:ascii="Segoe UI" w:eastAsia="Times New Roman" w:hAnsi="Segoe UI" w:cs="Segoe UI"/>
          <w:kern w:val="0"/>
          <w:lang w:eastAsia="en-GB" w:bidi="bn-IN"/>
          <w14:ligatures w14:val="none"/>
        </w:rPr>
        <w:t>Gülhas</w:t>
      </w:r>
      <w:proofErr w:type="spellEnd"/>
      <w:r w:rsidRPr="009A79EE">
        <w:rPr>
          <w:rFonts w:ascii="Segoe UI" w:eastAsia="Times New Roman" w:hAnsi="Segoe UI" w:cs="Segoe UI"/>
          <w:kern w:val="0"/>
          <w:lang w:eastAsia="en-GB" w:bidi="bn-IN"/>
          <w14:ligatures w14:val="none"/>
        </w:rPr>
        <w:t xml:space="preserve">, "Blockchain-enabled supply chain management: A review of security, traceability, and data integrity amid the evolving systemic demand," </w:t>
      </w:r>
      <w:r w:rsidRPr="009A79EE">
        <w:rPr>
          <w:rFonts w:ascii="inherit" w:eastAsia="Times New Roman" w:hAnsi="inherit" w:cs="Segoe UI"/>
          <w:i/>
          <w:iCs/>
          <w:kern w:val="0"/>
          <w:bdr w:val="none" w:sz="0" w:space="0" w:color="auto" w:frame="1"/>
          <w:lang w:eastAsia="en-GB" w:bidi="bn-IN"/>
          <w14:ligatures w14:val="none"/>
        </w:rPr>
        <w:t>Applied Sciences</w:t>
      </w:r>
      <w:r w:rsidRPr="009A79EE">
        <w:rPr>
          <w:rFonts w:ascii="Segoe UI" w:eastAsia="Times New Roman" w:hAnsi="Segoe UI" w:cs="Segoe UI"/>
          <w:kern w:val="0"/>
          <w:lang w:eastAsia="en-GB" w:bidi="bn-IN"/>
          <w14:ligatures w14:val="none"/>
        </w:rPr>
        <w:t>, vol. 15, no. 9, p. 5168, 2025.</w:t>
      </w:r>
    </w:p>
    <w:p w14:paraId="4DB7679E" w14:textId="77777777" w:rsidR="009A79EE" w:rsidRPr="009A79EE" w:rsidRDefault="009A79EE" w:rsidP="009A79EE">
      <w:pPr>
        <w:shd w:val="clear" w:color="auto" w:fill="FFFFFF"/>
        <w:spacing w:after="0" w:line="390" w:lineRule="atLeast"/>
        <w:textAlignment w:val="baseline"/>
        <w:rPr>
          <w:rFonts w:ascii="Segoe UI" w:eastAsia="Times New Roman" w:hAnsi="Segoe UI" w:cs="Segoe UI"/>
          <w:kern w:val="0"/>
          <w:lang w:eastAsia="en-GB" w:bidi="bn-IN"/>
          <w14:ligatures w14:val="none"/>
        </w:rPr>
      </w:pPr>
      <w:r w:rsidRPr="009A79EE">
        <w:rPr>
          <w:rFonts w:ascii="Segoe UI" w:eastAsia="Times New Roman" w:hAnsi="Segoe UI" w:cs="Segoe UI"/>
          <w:kern w:val="0"/>
          <w:lang w:eastAsia="en-GB" w:bidi="bn-IN"/>
          <w14:ligatures w14:val="none"/>
        </w:rPr>
        <w:t xml:space="preserve">[58] B. O. </w:t>
      </w:r>
      <w:proofErr w:type="spellStart"/>
      <w:r w:rsidRPr="009A79EE">
        <w:rPr>
          <w:rFonts w:ascii="Segoe UI" w:eastAsia="Times New Roman" w:hAnsi="Segoe UI" w:cs="Segoe UI"/>
          <w:kern w:val="0"/>
          <w:lang w:eastAsia="en-GB" w:bidi="bn-IN"/>
          <w14:ligatures w14:val="none"/>
        </w:rPr>
        <w:t>Oguntegbe</w:t>
      </w:r>
      <w:proofErr w:type="spellEnd"/>
      <w:r w:rsidRPr="009A79EE">
        <w:rPr>
          <w:rFonts w:ascii="Segoe UI" w:eastAsia="Times New Roman" w:hAnsi="Segoe UI" w:cs="Segoe UI"/>
          <w:kern w:val="0"/>
          <w:lang w:eastAsia="en-GB" w:bidi="bn-IN"/>
          <w14:ligatures w14:val="none"/>
        </w:rPr>
        <w:t xml:space="preserve"> </w:t>
      </w:r>
      <w:r w:rsidRPr="009A79EE">
        <w:rPr>
          <w:rFonts w:ascii="inherit" w:eastAsia="Times New Roman" w:hAnsi="inherit" w:cs="Segoe UI"/>
          <w:i/>
          <w:iCs/>
          <w:kern w:val="0"/>
          <w:bdr w:val="none" w:sz="0" w:space="0" w:color="auto" w:frame="1"/>
          <w:lang w:eastAsia="en-GB" w:bidi="bn-IN"/>
          <w14:ligatures w14:val="none"/>
        </w:rPr>
        <w:t>et al.</w:t>
      </w:r>
      <w:r w:rsidRPr="009A79EE">
        <w:rPr>
          <w:rFonts w:ascii="Segoe UI" w:eastAsia="Times New Roman" w:hAnsi="Segoe UI" w:cs="Segoe UI"/>
          <w:kern w:val="0"/>
          <w:lang w:eastAsia="en-GB" w:bidi="bn-IN"/>
          <w14:ligatures w14:val="none"/>
        </w:rPr>
        <w:t xml:space="preserve">, "Closing the supply chain loop: enablers, strategies, and outcomes of blockchain implementation in reverse logistics," </w:t>
      </w:r>
      <w:r w:rsidRPr="009A79EE">
        <w:rPr>
          <w:rFonts w:ascii="inherit" w:eastAsia="Times New Roman" w:hAnsi="inherit" w:cs="Segoe UI"/>
          <w:i/>
          <w:iCs/>
          <w:kern w:val="0"/>
          <w:bdr w:val="none" w:sz="0" w:space="0" w:color="auto" w:frame="1"/>
          <w:lang w:eastAsia="en-GB" w:bidi="bn-IN"/>
          <w14:ligatures w14:val="none"/>
        </w:rPr>
        <w:t>International Journal of Production Research</w:t>
      </w:r>
      <w:r w:rsidRPr="009A79EE">
        <w:rPr>
          <w:rFonts w:ascii="Segoe UI" w:eastAsia="Times New Roman" w:hAnsi="Segoe UI" w:cs="Segoe UI"/>
          <w:kern w:val="0"/>
          <w:lang w:eastAsia="en-GB" w:bidi="bn-IN"/>
          <w14:ligatures w14:val="none"/>
        </w:rPr>
        <w:t>, 2025.</w:t>
      </w:r>
    </w:p>
    <w:p w14:paraId="7BD817BB" w14:textId="77777777" w:rsidR="009A79EE" w:rsidRPr="009A79EE" w:rsidRDefault="009A79EE" w:rsidP="009A79EE">
      <w:pPr>
        <w:rPr>
          <w:sz w:val="21"/>
          <w:szCs w:val="21"/>
        </w:rPr>
      </w:pPr>
    </w:p>
    <w:sectPr w:rsidR="009A79EE" w:rsidRPr="009A79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9EE"/>
    <w:rsid w:val="001301C4"/>
    <w:rsid w:val="00342AE8"/>
    <w:rsid w:val="00777201"/>
    <w:rsid w:val="008C4075"/>
    <w:rsid w:val="009A79EE"/>
    <w:rsid w:val="00A56B96"/>
    <w:rsid w:val="00C85880"/>
    <w:rsid w:val="00DE20ED"/>
    <w:rsid w:val="00FF3C4D"/>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decimalSymbol w:val="."/>
  <w:listSeparator w:val=","/>
  <w14:docId w14:val="32BCC148"/>
  <w15:chartTrackingRefBased/>
  <w15:docId w15:val="{0D747FC1-E14C-AB4C-91D2-543598753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7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7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7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7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9EE"/>
    <w:rPr>
      <w:rFonts w:eastAsiaTheme="majorEastAsia" w:cstheme="majorBidi"/>
      <w:color w:val="272727" w:themeColor="text1" w:themeTint="D8"/>
    </w:rPr>
  </w:style>
  <w:style w:type="paragraph" w:styleId="Title">
    <w:name w:val="Title"/>
    <w:basedOn w:val="Normal"/>
    <w:next w:val="Normal"/>
    <w:link w:val="TitleChar"/>
    <w:uiPriority w:val="10"/>
    <w:qFormat/>
    <w:rsid w:val="009A7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9EE"/>
    <w:pPr>
      <w:spacing w:before="160"/>
      <w:jc w:val="center"/>
    </w:pPr>
    <w:rPr>
      <w:i/>
      <w:iCs/>
      <w:color w:val="404040" w:themeColor="text1" w:themeTint="BF"/>
    </w:rPr>
  </w:style>
  <w:style w:type="character" w:customStyle="1" w:styleId="QuoteChar">
    <w:name w:val="Quote Char"/>
    <w:basedOn w:val="DefaultParagraphFont"/>
    <w:link w:val="Quote"/>
    <w:uiPriority w:val="29"/>
    <w:rsid w:val="009A79EE"/>
    <w:rPr>
      <w:i/>
      <w:iCs/>
      <w:color w:val="404040" w:themeColor="text1" w:themeTint="BF"/>
    </w:rPr>
  </w:style>
  <w:style w:type="paragraph" w:styleId="ListParagraph">
    <w:name w:val="List Paragraph"/>
    <w:basedOn w:val="Normal"/>
    <w:uiPriority w:val="34"/>
    <w:qFormat/>
    <w:rsid w:val="009A79EE"/>
    <w:pPr>
      <w:ind w:left="720"/>
      <w:contextualSpacing/>
    </w:pPr>
  </w:style>
  <w:style w:type="character" w:styleId="IntenseEmphasis">
    <w:name w:val="Intense Emphasis"/>
    <w:basedOn w:val="DefaultParagraphFont"/>
    <w:uiPriority w:val="21"/>
    <w:qFormat/>
    <w:rsid w:val="009A79EE"/>
    <w:rPr>
      <w:i/>
      <w:iCs/>
      <w:color w:val="0F4761" w:themeColor="accent1" w:themeShade="BF"/>
    </w:rPr>
  </w:style>
  <w:style w:type="paragraph" w:styleId="IntenseQuote">
    <w:name w:val="Intense Quote"/>
    <w:basedOn w:val="Normal"/>
    <w:next w:val="Normal"/>
    <w:link w:val="IntenseQuoteChar"/>
    <w:uiPriority w:val="30"/>
    <w:qFormat/>
    <w:rsid w:val="009A7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9EE"/>
    <w:rPr>
      <w:i/>
      <w:iCs/>
      <w:color w:val="0F4761" w:themeColor="accent1" w:themeShade="BF"/>
    </w:rPr>
  </w:style>
  <w:style w:type="character" w:styleId="IntenseReference">
    <w:name w:val="Intense Reference"/>
    <w:basedOn w:val="DefaultParagraphFont"/>
    <w:uiPriority w:val="32"/>
    <w:qFormat/>
    <w:rsid w:val="009A79EE"/>
    <w:rPr>
      <w:b/>
      <w:bCs/>
      <w:smallCaps/>
      <w:color w:val="0F4761" w:themeColor="accent1" w:themeShade="BF"/>
      <w:spacing w:val="5"/>
    </w:rPr>
  </w:style>
  <w:style w:type="character" w:styleId="Strong">
    <w:name w:val="Strong"/>
    <w:basedOn w:val="DefaultParagraphFont"/>
    <w:uiPriority w:val="22"/>
    <w:qFormat/>
    <w:rsid w:val="009A79EE"/>
    <w:rPr>
      <w:b/>
      <w:bCs/>
    </w:rPr>
  </w:style>
  <w:style w:type="character" w:styleId="Hyperlink">
    <w:name w:val="Hyperlink"/>
    <w:basedOn w:val="DefaultParagraphFont"/>
    <w:uiPriority w:val="99"/>
    <w:unhideWhenUsed/>
    <w:rsid w:val="009A79EE"/>
    <w:rPr>
      <w:color w:val="0000FF"/>
      <w:u w:val="single"/>
    </w:rPr>
  </w:style>
  <w:style w:type="table" w:styleId="TableGrid">
    <w:name w:val="Table Grid"/>
    <w:basedOn w:val="TableNormal"/>
    <w:uiPriority w:val="39"/>
    <w:rsid w:val="009A79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A79EE"/>
    <w:rPr>
      <w:i/>
      <w:iCs/>
    </w:rPr>
  </w:style>
  <w:style w:type="character" w:styleId="FollowedHyperlink">
    <w:name w:val="FollowedHyperlink"/>
    <w:basedOn w:val="DefaultParagraphFont"/>
    <w:uiPriority w:val="99"/>
    <w:semiHidden/>
    <w:unhideWhenUsed/>
    <w:rsid w:val="00DE20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ibm.com/publications/enabling-privacy-and-traceability-in-supply-chains-using-blockchain-and-zero-knowledge-proofs" TargetMode="External"/><Relationship Id="rId3" Type="http://schemas.openxmlformats.org/officeDocument/2006/relationships/webSettings" Target="webSettings.xml"/><Relationship Id="rId7" Type="http://schemas.openxmlformats.org/officeDocument/2006/relationships/hyperlink" Target="https://www.ibm.com/case-studies/rcs-global-blockcha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uroparl.europa.eu/cmsdata/297032/Traceability%20of%20critical%20raw%20materials.pdf" TargetMode="External"/><Relationship Id="rId11" Type="http://schemas.openxmlformats.org/officeDocument/2006/relationships/theme" Target="theme/theme1.xml"/><Relationship Id="rId5" Type="http://schemas.openxmlformats.org/officeDocument/2006/relationships/hyperlink" Target="https://www.europarl.europa.eu/cmsdata/297032/Traceability%20of%20critical%20raw%20materials.pdf" TargetMode="External"/><Relationship Id="rId10" Type="http://schemas.openxmlformats.org/officeDocument/2006/relationships/fontTable" Target="fontTable.xml"/><Relationship Id="rId4" Type="http://schemas.openxmlformats.org/officeDocument/2006/relationships/hyperlink" Target="https://www.europarl.europa.eu/cmsdata/297032/Traceability%20of%20critical%20raw%20materials.pdf" TargetMode="External"/><Relationship Id="rId9" Type="http://schemas.openxmlformats.org/officeDocument/2006/relationships/hyperlink" Target="https://www.computer.org/csdl/proceedings-article/blockchain/2022/610400a157/1GNt77pcsZW?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1920</Words>
  <Characters>10947</Characters>
  <Application>Microsoft Office Word</Application>
  <DocSecurity>0</DocSecurity>
  <Lines>91</Lines>
  <Paragraphs>25</Paragraphs>
  <ScaleCrop>false</ScaleCrop>
  <Company/>
  <LinksUpToDate>false</LinksUpToDate>
  <CharactersWithSpaces>12842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Maruf Farhan</dc:creator>
  <cp:keywords/>
  <dc:description/>
  <cp:lastModifiedBy>Farhan, Maruf</cp:lastModifiedBy>
  <cp:revision>3</cp:revision>
  <dcterms:created xsi:type="dcterms:W3CDTF">2026-04-05T19:05:00Z</dcterms:created>
  <dcterms:modified xsi:type="dcterms:W3CDTF">2026-05-04T11:37:00Z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e1b534-098f-4ac8-9223-69712ddf82de_Enabled">
    <vt:lpwstr>true</vt:lpwstr>
  </property>
  <property fmtid="{D5CDD505-2E9C-101B-9397-08002B2CF9AE}" pid="3" name="MSIP_Label_55e1b534-098f-4ac8-9223-69712ddf82de_SetDate">
    <vt:lpwstr>2026-05-04T11:37:51Z</vt:lpwstr>
  </property>
  <property fmtid="{D5CDD505-2E9C-101B-9397-08002B2CF9AE}" pid="4" name="MSIP_Label_55e1b534-098f-4ac8-9223-69712ddf82de_Method">
    <vt:lpwstr>Standard</vt:lpwstr>
  </property>
  <property fmtid="{D5CDD505-2E9C-101B-9397-08002B2CF9AE}" pid="5" name="MSIP_Label_55e1b534-098f-4ac8-9223-69712ddf82de_Name">
    <vt:lpwstr>Public Document</vt:lpwstr>
  </property>
  <property fmtid="{D5CDD505-2E9C-101B-9397-08002B2CF9AE}" pid="6" name="MSIP_Label_55e1b534-098f-4ac8-9223-69712ddf82de_SiteId">
    <vt:lpwstr>c9ef029c-18cf-4016-86d3-93cf8e94ff94</vt:lpwstr>
  </property>
  <property fmtid="{D5CDD505-2E9C-101B-9397-08002B2CF9AE}" pid="7" name="MSIP_Label_55e1b534-098f-4ac8-9223-69712ddf82de_ActionId">
    <vt:lpwstr>e2acc9f8-cdbe-4d42-9111-8161dc41606e</vt:lpwstr>
  </property>
  <property fmtid="{D5CDD505-2E9C-101B-9397-08002B2CF9AE}" pid="8" name="MSIP_Label_55e1b534-098f-4ac8-9223-69712ddf82de_ContentBits">
    <vt:lpwstr>0</vt:lpwstr>
  </property>
  <property fmtid="{D5CDD505-2E9C-101B-9397-08002B2CF9AE}" pid="9" name="MSIP_Label_55e1b534-098f-4ac8-9223-69712ddf82de_Tag">
    <vt:lpwstr>50, 3, 0, 1</vt:lpwstr>
  </property>
</Properties>
</file>