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122"/>
      </w:tblGrid>
      <w:tr>
        <w:tc>
          <w:tcPr>
            <w:tcW w:type="dxa" w:w="9122"/>
            <w:shd w:val="clear" w:color="auto" w:fill="003366"/>
          </w:tcPr>
          <w:p>
            <w:pPr>
              <w:jc w:val="center"/>
            </w:pPr>
            <w:r>
              <w:rPr>
                <w:b/>
                <w:color w:val="FFFFFF"/>
                <w:sz w:val="26"/>
              </w:rPr>
              <w:t>SERCOP — Servicio Nacional de Contratacion Publica</w:t>
              <w:br/>
              <w:t>Coordinacion de Tecnologia de la Informacion</w:t>
              <w:br/>
              <w:br/>
              <w:t>ANEXOS</w:t>
              <w:br/>
              <w:t>Informe Tecnico IT-DIO-2026-206</w:t>
              <w:br/>
              <w:t>SercoBot — Asistente Virtual de Contratacion Publica</w:t>
              <w:br/>
              <w:br/>
              <w:t>Fecha: 16 de abril de 2026</w:t>
              <w:br/>
              <w:t>Version: 1.0</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1134"/>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Anexo</w:t>
            </w:r>
          </w:p>
        </w:tc>
        <w:tc>
          <w:tcPr>
            <w:tcW w:type="dxa" w:w="6803"/>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Titulo</w:t>
            </w:r>
          </w:p>
        </w:tc>
        <w:tc>
          <w:tcPr>
            <w:tcW w:type="dxa" w:w="1134"/>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Pagina</w:t>
            </w:r>
          </w:p>
        </w:tc>
      </w:tr>
      <w:tr>
        <w:tc>
          <w:tcPr>
            <w:tcW w:type="dxa" w:w="113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Anexo 1</w:t>
            </w:r>
          </w:p>
        </w:tc>
        <w:tc>
          <w:tcPr>
            <w:tcW w:type="dxa" w:w="6803"/>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Arquitectura tecnica detallada del sistema SercoBot</w:t>
            </w:r>
          </w:p>
        </w:tc>
        <w:tc>
          <w:tcPr>
            <w:tcW w:type="dxa" w:w="113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w:t>
            </w:r>
          </w:p>
        </w:tc>
      </w:tr>
      <w:tr>
        <w:tc>
          <w:tcPr>
            <w:tcW w:type="dxa" w:w="113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Anexo 2</w:t>
            </w:r>
          </w:p>
        </w:tc>
        <w:tc>
          <w:tcPr>
            <w:tcW w:type="dxa" w:w="6803"/>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Listado completo de documentos normativos indexados</w:t>
            </w:r>
          </w:p>
        </w:tc>
        <w:tc>
          <w:tcPr>
            <w:tcW w:type="dxa" w:w="113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4</w:t>
            </w:r>
          </w:p>
        </w:tc>
      </w:tr>
      <w:tr>
        <w:tc>
          <w:tcPr>
            <w:tcW w:type="dxa" w:w="113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Anexo 3</w:t>
            </w:r>
          </w:p>
        </w:tc>
        <w:tc>
          <w:tcPr>
            <w:tcW w:type="dxa" w:w="6803"/>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Informe de diagnostico de conectividad (13/04/2026)</w:t>
            </w:r>
          </w:p>
        </w:tc>
        <w:tc>
          <w:tcPr>
            <w:tcW w:type="dxa" w:w="113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5</w:t>
            </w:r>
          </w:p>
        </w:tc>
      </w:tr>
      <w:tr>
        <w:tc>
          <w:tcPr>
            <w:tcW w:type="dxa" w:w="113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Anexo 4</w:t>
            </w:r>
          </w:p>
        </w:tc>
        <w:tc>
          <w:tcPr>
            <w:tcW w:type="dxa" w:w="6803"/>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Ticket MANTIS — Habilitacion de infraestructura (15/04/2026)</w:t>
            </w:r>
          </w:p>
        </w:tc>
        <w:tc>
          <w:tcPr>
            <w:tcW w:type="dxa" w:w="113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7</w:t>
            </w:r>
          </w:p>
        </w:tc>
      </w:tr>
      <w:tr>
        <w:tc>
          <w:tcPr>
            <w:tcW w:type="dxa" w:w="113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Anexo 5</w:t>
            </w:r>
          </w:p>
        </w:tc>
        <w:tc>
          <w:tcPr>
            <w:tcW w:type="dxa" w:w="6803"/>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Resultados de pruebas funcionales — casos de uso validados</w:t>
            </w:r>
          </w:p>
        </w:tc>
        <w:tc>
          <w:tcPr>
            <w:tcW w:type="dxa" w:w="113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9</w:t>
            </w:r>
          </w:p>
        </w:tc>
      </w:tr>
    </w:tbl>
    <w:p>
      <w:r>
        <w:br w:type="page"/>
      </w:r>
    </w:p>
    <w:tbl>
      <w:tblPr>
        <w:tblStyle w:val="TableGrid"/>
        <w:tblW w:type="auto" w:w="0"/>
        <w:tblLook w:firstColumn="1" w:firstRow="1" w:lastColumn="0" w:lastRow="0" w:noHBand="0" w:noVBand="1" w:val="04A0"/>
      </w:tblPr>
      <w:tblGrid>
        <w:gridCol w:w="9122"/>
      </w:tblGrid>
      <w:tr>
        <w:tc>
          <w:tcPr>
            <w:tcW w:type="dxa" w:w="9122"/>
            <w:shd w:val="clear" w:color="auto" w:fill="003366"/>
          </w:tcPr>
          <w:p>
            <w:pPr>
              <w:jc w:val="left"/>
            </w:pPr>
            <w:r>
              <w:rPr>
                <w:b/>
                <w:color w:val="FFFFFF"/>
                <w:sz w:val="22"/>
              </w:rPr>
              <w:t xml:space="preserve">  ANEXO 1  |  Arquitectura tecnica detallada del sistema SercoBot</w:t>
            </w:r>
          </w:p>
        </w:tc>
      </w:tr>
    </w:tbl>
    <w:p/>
    <w:p>
      <w:pPr>
        <w:spacing w:before="160" w:after="80"/>
      </w:pPr>
      <w:r>
        <w:rPr>
          <w:b/>
          <w:color w:val="003366"/>
          <w:sz w:val="22"/>
        </w:rPr>
        <w:t>1.1 Diagrama de componentes</w:t>
      </w:r>
    </w:p>
    <w:p>
      <w:pPr>
        <w:spacing w:before="40" w:after="60"/>
      </w:pPr>
      <w:r>
        <w:rPr>
          <w:b w:val="0"/>
          <w:i w:val="0"/>
          <w:color w:val="000000"/>
          <w:sz w:val="20"/>
        </w:rPr>
        <w:t>El sistema SercoBot esta compuesto por dos capas independientes que se integran a traves del modulo brain.py. La capa de mensajeria (WhatsApp) permanece estable y desacoplada de la capa de conocimiento normativo (RAG).</w:t>
      </w:r>
    </w:p>
    <w:p>
      <w:pPr>
        <w:spacing w:before="20" w:after="20"/>
        <w:ind w:left="454"/>
      </w:pPr>
      <w:r>
        <w:rPr>
          <w:rFonts w:ascii="Courier New" w:hAnsi="Courier New"/>
          <w:color w:val="1A1A1A"/>
          <w:sz w:val="17"/>
        </w:rPr>
        <w:t>┌─────────────────────────────────────────────────────────────┐</w:t>
      </w:r>
    </w:p>
    <w:p>
      <w:pPr>
        <w:spacing w:before="20" w:after="20"/>
        <w:ind w:left="454"/>
      </w:pPr>
      <w:r>
        <w:rPr>
          <w:rFonts w:ascii="Courier New" w:hAnsi="Courier New"/>
          <w:color w:val="1A1A1A"/>
          <w:sz w:val="17"/>
        </w:rPr>
        <w:t>│            CAPA DE MENSAJERIA (WhatsApp)                    │</w:t>
      </w:r>
    </w:p>
    <w:p>
      <w:pPr>
        <w:spacing w:before="20" w:after="20"/>
        <w:ind w:left="454"/>
      </w:pPr>
      <w:r>
        <w:rPr>
          <w:rFonts w:ascii="Courier New" w:hAnsi="Courier New"/>
          <w:color w:val="1A1A1A"/>
          <w:sz w:val="17"/>
        </w:rPr>
        <w:t>│                                                             │</w:t>
      </w:r>
    </w:p>
    <w:p>
      <w:pPr>
        <w:spacing w:before="20" w:after="20"/>
        <w:ind w:left="454"/>
      </w:pPr>
      <w:r>
        <w:rPr>
          <w:rFonts w:ascii="Courier New" w:hAnsi="Courier New"/>
          <w:color w:val="1A1A1A"/>
          <w:sz w:val="17"/>
        </w:rPr>
        <w:t>│  Meta Cloud API                                             │</w:t>
      </w:r>
    </w:p>
    <w:p>
      <w:pPr>
        <w:spacing w:before="20" w:after="20"/>
        <w:ind w:left="454"/>
      </w:pPr>
      <w:r>
        <w:rPr>
          <w:rFonts w:ascii="Courier New" w:hAnsi="Courier New"/>
          <w:color w:val="1A1A1A"/>
          <w:sz w:val="17"/>
        </w:rPr>
        <w:t>│    └─&gt; POST /webhook  [agent/main.py]                       │</w:t>
      </w:r>
    </w:p>
    <w:p>
      <w:pPr>
        <w:spacing w:before="20" w:after="20"/>
        <w:ind w:left="454"/>
      </w:pPr>
      <w:r>
        <w:rPr>
          <w:rFonts w:ascii="Courier New" w:hAnsi="Courier New"/>
          <w:color w:val="1A1A1A"/>
          <w:sz w:val="17"/>
        </w:rPr>
        <w:t>│          ├─&gt; parsear_webhook()  [providers/meta.py]         │</w:t>
      </w:r>
    </w:p>
    <w:p>
      <w:pPr>
        <w:spacing w:before="20" w:after="20"/>
        <w:ind w:left="454"/>
      </w:pPr>
      <w:r>
        <w:rPr>
          <w:rFonts w:ascii="Courier New" w:hAnsi="Courier New"/>
          <w:color w:val="1A1A1A"/>
          <w:sz w:val="17"/>
        </w:rPr>
        <w:t>│          ├─&gt; deduplicacion (_mensajes_procesados set)       │</w:t>
      </w:r>
    </w:p>
    <w:p>
      <w:pPr>
        <w:spacing w:before="20" w:after="20"/>
        <w:ind w:left="454"/>
      </w:pPr>
      <w:r>
        <w:rPr>
          <w:rFonts w:ascii="Courier New" w:hAnsi="Courier New"/>
          <w:color w:val="1A1A1A"/>
          <w:sz w:val="17"/>
        </w:rPr>
        <w:t>│          ├─&gt; [multimedia?] ──&gt; _responder_multimedia()      │</w:t>
      </w:r>
    </w:p>
    <w:p>
      <w:pPr>
        <w:spacing w:before="20" w:after="20"/>
        <w:ind w:left="454"/>
      </w:pPr>
      <w:r>
        <w:rPr>
          <w:rFonts w:ascii="Courier New" w:hAnsi="Courier New"/>
          <w:color w:val="1A1A1A"/>
          <w:sz w:val="17"/>
        </w:rPr>
        <w:t>│          └─&gt; background: _procesar_mensaje()                │</w:t>
      </w:r>
    </w:p>
    <w:p>
      <w:pPr>
        <w:spacing w:before="20" w:after="20"/>
        <w:ind w:left="454"/>
      </w:pPr>
      <w:r>
        <w:rPr>
          <w:rFonts w:ascii="Courier New" w:hAnsi="Courier New"/>
          <w:color w:val="1A1A1A"/>
          <w:sz w:val="17"/>
        </w:rPr>
        <w:t>│                ├─&gt; obtener_historial()  [memory.py]         │</w:t>
      </w:r>
    </w:p>
    <w:p>
      <w:pPr>
        <w:spacing w:before="20" w:after="20"/>
        <w:ind w:left="454"/>
      </w:pPr>
      <w:r>
        <w:rPr>
          <w:rFonts w:ascii="Courier New" w:hAnsi="Courier New"/>
          <w:color w:val="1A1A1A"/>
          <w:sz w:val="17"/>
        </w:rPr>
        <w:t>│                ├─&gt; generar_respuesta()  [brain.py]  ───┐    │</w:t>
      </w:r>
    </w:p>
    <w:p>
      <w:pPr>
        <w:spacing w:before="20" w:after="20"/>
        <w:ind w:left="454"/>
      </w:pPr>
      <w:r>
        <w:rPr>
          <w:rFonts w:ascii="Courier New" w:hAnsi="Courier New"/>
          <w:color w:val="1A1A1A"/>
          <w:sz w:val="17"/>
        </w:rPr>
        <w:t>│                ├─&gt; guardar_mensaje()    [memory.py]    │    │</w:t>
      </w:r>
    </w:p>
    <w:p>
      <w:pPr>
        <w:spacing w:before="20" w:after="20"/>
        <w:ind w:left="454"/>
      </w:pPr>
      <w:r>
        <w:rPr>
          <w:rFonts w:ascii="Courier New" w:hAnsi="Courier New"/>
          <w:color w:val="1A1A1A"/>
          <w:sz w:val="17"/>
        </w:rPr>
        <w:t>│                └─&gt; enviar_mensaje()     [meta.py]      │    │</w:t>
      </w:r>
    </w:p>
    <w:p>
      <w:pPr>
        <w:spacing w:before="20" w:after="20"/>
        <w:ind w:left="454"/>
      </w:pPr>
      <w:r>
        <w:rPr>
          <w:rFonts w:ascii="Courier New" w:hAnsi="Courier New"/>
          <w:color w:val="1A1A1A"/>
          <w:sz w:val="17"/>
        </w:rPr>
        <w:t>│                                                        │    │</w:t>
      </w:r>
    </w:p>
    <w:p>
      <w:pPr>
        <w:spacing w:before="20" w:after="20"/>
        <w:ind w:left="454"/>
      </w:pPr>
      <w:r>
        <w:rPr>
          <w:rFonts w:ascii="Courier New" w:hAnsi="Courier New"/>
          <w:color w:val="1A1A1A"/>
          <w:sz w:val="17"/>
        </w:rPr>
        <w:t>├────────────────────────────────────────────────────────┼────┤</w:t>
      </w:r>
    </w:p>
    <w:p>
      <w:pPr>
        <w:spacing w:before="20" w:after="20"/>
        <w:ind w:left="454"/>
      </w:pPr>
      <w:r>
        <w:rPr>
          <w:rFonts w:ascii="Courier New" w:hAnsi="Courier New"/>
          <w:color w:val="1A1A1A"/>
          <w:sz w:val="17"/>
        </w:rPr>
        <w:t>│            CAPA DE CONOCIMIENTO (RAG + Tools)          │    │</w:t>
      </w:r>
    </w:p>
    <w:p>
      <w:pPr>
        <w:spacing w:before="20" w:after="20"/>
        <w:ind w:left="454"/>
      </w:pPr>
      <w:r>
        <w:rPr>
          <w:rFonts w:ascii="Courier New" w:hAnsi="Courier New"/>
          <w:color w:val="1A1A1A"/>
          <w:sz w:val="17"/>
        </w:rPr>
        <w:t>│                                                         ▼    │</w:t>
      </w:r>
    </w:p>
    <w:p>
      <w:pPr>
        <w:spacing w:before="20" w:after="20"/>
        <w:ind w:left="454"/>
      </w:pPr>
      <w:r>
        <w:rPr>
          <w:rFonts w:ascii="Courier New" w:hAnsi="Courier New"/>
          <w:color w:val="1A1A1A"/>
          <w:sz w:val="17"/>
        </w:rPr>
        <w:t>│  brain.py::generar_respuesta()                              │</w:t>
      </w:r>
    </w:p>
    <w:p>
      <w:pPr>
        <w:spacing w:before="20" w:after="20"/>
        <w:ind w:left="454"/>
      </w:pPr>
      <w:r>
        <w:rPr>
          <w:rFonts w:ascii="Courier New" w:hAnsi="Courier New"/>
          <w:color w:val="1A1A1A"/>
          <w:sz w:val="17"/>
        </w:rPr>
        <w:t>│    ├─&gt; [shortcut?]  ──&gt; respuesta fija (0ms, 0 tokens)      │</w:t>
      </w:r>
    </w:p>
    <w:p>
      <w:pPr>
        <w:spacing w:before="20" w:after="20"/>
        <w:ind w:left="454"/>
      </w:pPr>
      <w:r>
        <w:rPr>
          <w:rFonts w:ascii="Courier New" w:hAnsi="Courier New"/>
          <w:color w:val="1A1A1A"/>
          <w:sz w:val="17"/>
        </w:rPr>
        <w:t>│    ├─&gt; LLM 1ra llamada: ?tool_calls                         │</w:t>
      </w:r>
    </w:p>
    <w:p>
      <w:pPr>
        <w:spacing w:before="20" w:after="20"/>
        <w:ind w:left="454"/>
      </w:pPr>
      <w:r>
        <w:rPr>
          <w:rFonts w:ascii="Courier New" w:hAnsi="Courier New"/>
          <w:color w:val="1A1A1A"/>
          <w:sz w:val="17"/>
        </w:rPr>
        <w:t>│    │     ├─&gt; obtener_montos_pie()     [tools.py]            │</w:t>
      </w:r>
    </w:p>
    <w:p>
      <w:pPr>
        <w:spacing w:before="20" w:after="20"/>
        <w:ind w:left="454"/>
      </w:pPr>
      <w:r>
        <w:rPr>
          <w:rFonts w:ascii="Courier New" w:hAnsi="Courier New"/>
          <w:color w:val="1A1A1A"/>
          <w:sz w:val="17"/>
        </w:rPr>
        <w:t>│    │     ├─&gt; recomendar_tipo_contratacion() [tools.py]      │</w:t>
      </w:r>
    </w:p>
    <w:p>
      <w:pPr>
        <w:spacing w:before="20" w:after="20"/>
        <w:ind w:left="454"/>
      </w:pPr>
      <w:r>
        <w:rPr>
          <w:rFonts w:ascii="Courier New" w:hAnsi="Courier New"/>
          <w:color w:val="1A1A1A"/>
          <w:sz w:val="17"/>
        </w:rPr>
        <w:t>│    │     ├─&gt; obtener_plazos(tipo)     [tools.py]            │</w:t>
      </w:r>
    </w:p>
    <w:p>
      <w:pPr>
        <w:spacing w:before="20" w:after="20"/>
        <w:ind w:left="454"/>
      </w:pPr>
      <w:r>
        <w:rPr>
          <w:rFonts w:ascii="Courier New" w:hAnsi="Courier New"/>
          <w:color w:val="1A1A1A"/>
          <w:sz w:val="17"/>
        </w:rPr>
        <w:t>│    │     ├─&gt; info_rup()               [tools.py]            │</w:t>
      </w:r>
    </w:p>
    <w:p>
      <w:pPr>
        <w:spacing w:before="20" w:after="20"/>
        <w:ind w:left="454"/>
      </w:pPr>
      <w:r>
        <w:rPr>
          <w:rFonts w:ascii="Courier New" w:hAnsi="Courier New"/>
          <w:color w:val="1A1A1A"/>
          <w:sz w:val="17"/>
        </w:rPr>
        <w:t>│    │     └─&gt; obtener_fecha_hora_ecuador() [tools.py]        │</w:t>
      </w:r>
    </w:p>
    <w:p>
      <w:pPr>
        <w:spacing w:before="20" w:after="20"/>
        <w:ind w:left="454"/>
      </w:pPr>
      <w:r>
        <w:rPr>
          <w:rFonts w:ascii="Courier New" w:hAnsi="Courier New"/>
          <w:color w:val="1A1A1A"/>
          <w:sz w:val="17"/>
        </w:rPr>
        <w:t>│    ├─&gt; buscar_contexto(query)         [retriever.py]        │</w:t>
      </w:r>
    </w:p>
    <w:p>
      <w:pPr>
        <w:spacing w:before="20" w:after="20"/>
        <w:ind w:left="454"/>
      </w:pPr>
      <w:r>
        <w:rPr>
          <w:rFonts w:ascii="Courier New" w:hAnsi="Courier New"/>
          <w:color w:val="1A1A1A"/>
          <w:sz w:val="17"/>
        </w:rPr>
        <w:t>│    │     ├─&gt; expand_query (siglas SERCOP)                   │</w:t>
      </w:r>
    </w:p>
    <w:p>
      <w:pPr>
        <w:spacing w:before="20" w:after="20"/>
        <w:ind w:left="454"/>
      </w:pPr>
      <w:r>
        <w:rPr>
          <w:rFonts w:ascii="Courier New" w:hAnsi="Courier New"/>
          <w:color w:val="1A1A1A"/>
          <w:sz w:val="17"/>
        </w:rPr>
        <w:t>│    │     ├─&gt; embed (nomic-embed-text 768d via Ollama)        │</w:t>
      </w:r>
    </w:p>
    <w:p>
      <w:pPr>
        <w:spacing w:before="20" w:after="20"/>
        <w:ind w:left="454"/>
      </w:pPr>
      <w:r>
        <w:rPr>
          <w:rFonts w:ascii="Courier New" w:hAnsi="Courier New"/>
          <w:color w:val="1A1A1A"/>
          <w:sz w:val="17"/>
        </w:rPr>
        <w:t>│    │     ├─&gt; HNSW coseno pgvector (top-12 semantico)        │</w:t>
      </w:r>
    </w:p>
    <w:p>
      <w:pPr>
        <w:spacing w:before="20" w:after="20"/>
        <w:ind w:left="454"/>
      </w:pPr>
      <w:r>
        <w:rPr>
          <w:rFonts w:ascii="Courier New" w:hAnsi="Courier New"/>
          <w:color w:val="1A1A1A"/>
          <w:sz w:val="17"/>
        </w:rPr>
        <w:t>│    │     ├─&gt; GIN tsvector español (top-N lexico)            │</w:t>
      </w:r>
    </w:p>
    <w:p>
      <w:pPr>
        <w:spacing w:before="20" w:after="20"/>
        <w:ind w:left="454"/>
      </w:pPr>
      <w:r>
        <w:rPr>
          <w:rFonts w:ascii="Courier New" w:hAnsi="Courier New"/>
          <w:color w:val="1A1A1A"/>
          <w:sz w:val="17"/>
        </w:rPr>
        <w:t>│    │     ├─&gt; RRF fusion (top-12 unicos)                     │</w:t>
      </w:r>
    </w:p>
    <w:p>
      <w:pPr>
        <w:spacing w:before="20" w:after="20"/>
        <w:ind w:left="454"/>
      </w:pPr>
      <w:r>
        <w:rPr>
          <w:rFonts w:ascii="Courier New" w:hAnsi="Courier New"/>
          <w:color w:val="1A1A1A"/>
          <w:sz w:val="17"/>
        </w:rPr>
        <w:t>│    │     └─&gt; cross-encoder reranker (top-4 final)           │</w:t>
      </w:r>
    </w:p>
    <w:p>
      <w:pPr>
        <w:spacing w:before="20" w:after="20"/>
        <w:ind w:left="454"/>
      </w:pPr>
      <w:r>
        <w:rPr>
          <w:rFonts w:ascii="Courier New" w:hAnsi="Courier New"/>
          <w:color w:val="1A1A1A"/>
          <w:sz w:val="17"/>
        </w:rPr>
        <w:t>│    └─&gt; LLM 2da llamada: gemma4:e2b (Ollama)                 │</w:t>
      </w:r>
    </w:p>
    <w:p>
      <w:pPr>
        <w:spacing w:before="20" w:after="20"/>
        <w:ind w:left="454"/>
      </w:pPr>
      <w:r>
        <w:rPr>
          <w:rFonts w:ascii="Courier New" w:hAnsi="Courier New"/>
          <w:color w:val="1A1A1A"/>
          <w:sz w:val="17"/>
        </w:rPr>
        <w:t>│          └─&gt; respuesta con citacion de articulo             │</w:t>
      </w:r>
    </w:p>
    <w:p>
      <w:pPr>
        <w:spacing w:before="20" w:after="20"/>
        <w:ind w:left="454"/>
      </w:pPr>
      <w:r>
        <w:rPr>
          <w:rFonts w:ascii="Courier New" w:hAnsi="Courier New"/>
          <w:color w:val="1A1A1A"/>
          <w:sz w:val="17"/>
        </w:rPr>
        <w:t>│                                                             │</w:t>
      </w:r>
    </w:p>
    <w:p>
      <w:pPr>
        <w:spacing w:before="20" w:after="20"/>
        <w:ind w:left="454"/>
      </w:pPr>
      <w:r>
        <w:rPr>
          <w:rFonts w:ascii="Courier New" w:hAnsi="Courier New"/>
          <w:color w:val="1A1A1A"/>
          <w:sz w:val="17"/>
        </w:rPr>
        <w:t>├─────────────────────────────────────────────────────────────┤</w:t>
      </w:r>
    </w:p>
    <w:p>
      <w:pPr>
        <w:spacing w:before="20" w:after="20"/>
        <w:ind w:left="454"/>
      </w:pPr>
      <w:r>
        <w:rPr>
          <w:rFonts w:ascii="Courier New" w:hAnsi="Courier New"/>
          <w:color w:val="1A1A1A"/>
          <w:sz w:val="17"/>
        </w:rPr>
        <w:t>│            INFRAESTRUCTURA                                  │</w:t>
      </w:r>
    </w:p>
    <w:p>
      <w:pPr>
        <w:spacing w:before="20" w:after="20"/>
        <w:ind w:left="454"/>
      </w:pPr>
      <w:r>
        <w:rPr>
          <w:rFonts w:ascii="Courier New" w:hAnsi="Courier New"/>
          <w:color w:val="1A1A1A"/>
          <w:sz w:val="17"/>
        </w:rPr>
        <w:t>│                                                             │</w:t>
      </w:r>
    </w:p>
    <w:p>
      <w:pPr>
        <w:spacing w:before="20" w:after="20"/>
        <w:ind w:left="454"/>
      </w:pPr>
      <w:r>
        <w:rPr>
          <w:rFonts w:ascii="Courier New" w:hAnsi="Courier New"/>
          <w:color w:val="1A1A1A"/>
          <w:sz w:val="17"/>
        </w:rPr>
        <w:t>│  PostgreSQL 16 + pgvector 0.8.2  (192.168.2.2:5432)        │</w:t>
      </w:r>
    </w:p>
    <w:p>
      <w:pPr>
        <w:spacing w:before="20" w:after="20"/>
        <w:ind w:left="454"/>
      </w:pPr>
      <w:r>
        <w:rPr>
          <w:rFonts w:ascii="Courier New" w:hAnsi="Courier New"/>
          <w:color w:val="1A1A1A"/>
          <w:sz w:val="17"/>
        </w:rPr>
        <w:t>│    ├─ tabla: documentos (17 registros)                      │</w:t>
      </w:r>
    </w:p>
    <w:p>
      <w:pPr>
        <w:spacing w:before="20" w:after="20"/>
        <w:ind w:left="454"/>
      </w:pPr>
      <w:r>
        <w:rPr>
          <w:rFonts w:ascii="Courier New" w:hAnsi="Courier New"/>
          <w:color w:val="1A1A1A"/>
          <w:sz w:val="17"/>
        </w:rPr>
        <w:t>│    ├─ tabla: chunks (3,059 registros + embeddings 768d)     │</w:t>
      </w:r>
    </w:p>
    <w:p>
      <w:pPr>
        <w:spacing w:before="20" w:after="20"/>
        <w:ind w:left="454"/>
      </w:pPr>
      <w:r>
        <w:rPr>
          <w:rFonts w:ascii="Courier New" w:hAnsi="Courier New"/>
          <w:color w:val="1A1A1A"/>
          <w:sz w:val="17"/>
        </w:rPr>
        <w:t>│    └─ tabla: mensajes (historial de conversaciones)         │</w:t>
      </w:r>
    </w:p>
    <w:p>
      <w:pPr>
        <w:spacing w:before="20" w:after="20"/>
        <w:ind w:left="454"/>
      </w:pPr>
      <w:r>
        <w:rPr>
          <w:rFonts w:ascii="Courier New" w:hAnsi="Courier New"/>
          <w:color w:val="1A1A1A"/>
          <w:sz w:val="17"/>
        </w:rPr>
        <w:t>│                                                             │</w:t>
      </w:r>
    </w:p>
    <w:p>
      <w:pPr>
        <w:spacing w:before="20" w:after="20"/>
        <w:ind w:left="454"/>
      </w:pPr>
      <w:r>
        <w:rPr>
          <w:rFonts w:ascii="Courier New" w:hAnsi="Courier New"/>
          <w:color w:val="1A1A1A"/>
          <w:sz w:val="17"/>
        </w:rPr>
        <w:t>│  Ollama  (localhost:11434)                                  │</w:t>
      </w:r>
    </w:p>
    <w:p>
      <w:pPr>
        <w:spacing w:before="20" w:after="20"/>
        <w:ind w:left="454"/>
      </w:pPr>
      <w:r>
        <w:rPr>
          <w:rFonts w:ascii="Courier New" w:hAnsi="Courier New"/>
          <w:color w:val="1A1A1A"/>
          <w:sz w:val="17"/>
        </w:rPr>
        <w:t>│    ├─ gemma4:e2b  — LLM principal (~5s/respuesta)           │</w:t>
      </w:r>
    </w:p>
    <w:p>
      <w:pPr>
        <w:spacing w:before="20" w:after="20"/>
        <w:ind w:left="454"/>
      </w:pPr>
      <w:r>
        <w:rPr>
          <w:rFonts w:ascii="Courier New" w:hAnsi="Courier New"/>
          <w:color w:val="1A1A1A"/>
          <w:sz w:val="17"/>
        </w:rPr>
        <w:t>│    └─ nomic-embed-text — embeddings 768d                    │</w:t>
      </w:r>
    </w:p>
    <w:p>
      <w:pPr>
        <w:spacing w:before="20" w:after="20"/>
        <w:ind w:left="454"/>
      </w:pPr>
      <w:r>
        <w:rPr>
          <w:rFonts w:ascii="Courier New" w:hAnsi="Courier New"/>
          <w:color w:val="1A1A1A"/>
          <w:sz w:val="17"/>
        </w:rPr>
        <w:t>│                                                             │</w:t>
      </w:r>
    </w:p>
    <w:p>
      <w:pPr>
        <w:spacing w:before="20" w:after="20"/>
        <w:ind w:left="454"/>
      </w:pPr>
      <w:r>
        <w:rPr>
          <w:rFonts w:ascii="Courier New" w:hAnsi="Courier New"/>
          <w:color w:val="1A1A1A"/>
          <w:sz w:val="17"/>
        </w:rPr>
        <w:t>│  FastAPI + Uvicorn  (192.168.9.230:8000)                    │</w:t>
      </w:r>
    </w:p>
    <w:p>
      <w:pPr>
        <w:spacing w:before="20" w:after="20"/>
        <w:ind w:left="454"/>
      </w:pPr>
      <w:r>
        <w:rPr>
          <w:rFonts w:ascii="Courier New" w:hAnsi="Courier New"/>
          <w:color w:val="1A1A1A"/>
          <w:sz w:val="17"/>
        </w:rPr>
        <w:t>│  Citrix reverse proxy  (192.168.100.131)                    │</w:t>
      </w:r>
    </w:p>
    <w:p>
      <w:pPr>
        <w:spacing w:before="20" w:after="20"/>
        <w:ind w:left="454"/>
      </w:pPr>
      <w:r>
        <w:rPr>
          <w:rFonts w:ascii="Courier New" w:hAnsi="Courier New"/>
          <w:color w:val="1A1A1A"/>
          <w:sz w:val="17"/>
        </w:rPr>
        <w:t>│  NAT perimetral  (157.100.62.125:443)                       │</w:t>
      </w:r>
    </w:p>
    <w:p>
      <w:pPr>
        <w:spacing w:before="20" w:after="20"/>
        <w:ind w:left="454"/>
      </w:pPr>
      <w:r>
        <w:rPr>
          <w:rFonts w:ascii="Courier New" w:hAnsi="Courier New"/>
          <w:color w:val="1A1A1A"/>
          <w:sz w:val="17"/>
        </w:rPr>
        <w:t>│  DNS: sercobot.sercop.gob.ec                                │</w:t>
      </w:r>
    </w:p>
    <w:p>
      <w:pPr>
        <w:spacing w:before="20" w:after="20"/>
        <w:ind w:left="454"/>
      </w:pPr>
      <w:r>
        <w:rPr>
          <w:rFonts w:ascii="Courier New" w:hAnsi="Courier New"/>
          <w:color w:val="1A1A1A"/>
          <w:sz w:val="17"/>
        </w:rPr>
        <w:t>└─────────────────────────────────────────────────────────────┘</w:t>
      </w:r>
    </w:p>
    <w:p/>
    <w:p>
      <w:pPr>
        <w:spacing w:before="160" w:after="80"/>
      </w:pPr>
      <w:r>
        <w:rPr>
          <w:b/>
          <w:color w:val="003366"/>
          <w:sz w:val="22"/>
        </w:rPr>
        <w:t>1.2 Flujo de red — publicacion institucional</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Capa</w:t>
            </w:r>
          </w:p>
        </w:tc>
        <w:tc>
          <w:tcPr>
            <w:tcW w:type="dxa" w:w="2835"/>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Componente</w:t>
            </w:r>
          </w:p>
        </w:tc>
        <w:tc>
          <w:tcPr>
            <w:tcW w:type="dxa" w:w="2551"/>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IP / Host</w:t>
            </w:r>
          </w:p>
        </w:tc>
        <w:tc>
          <w:tcPr>
            <w:tcW w:type="dxa" w:w="1984"/>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Puerto</w:t>
            </w:r>
          </w:p>
        </w:tc>
      </w:tr>
      <w:tr>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DNS publico</w:t>
            </w:r>
          </w:p>
        </w:tc>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sercobot.sercop.gob.ec</w:t>
            </w:r>
          </w:p>
        </w:tc>
        <w:tc>
          <w:tcPr>
            <w:tcW w:type="dxa" w:w="255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157.100.62.125</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443 HTTPS</w:t>
            </w:r>
          </w:p>
        </w:tc>
      </w:tr>
      <w:tr>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Firewall / NAT</w:t>
            </w:r>
          </w:p>
        </w:tc>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Firewall perimetral SERCOP</w:t>
            </w:r>
          </w:p>
        </w:tc>
        <w:tc>
          <w:tcPr>
            <w:tcW w:type="dxa" w:w="255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157.100.62.125</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443 → interno</w:t>
            </w:r>
          </w:p>
        </w:tc>
      </w:tr>
      <w:tr>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DMZ red 100</w:t>
            </w:r>
          </w:p>
        </w:tc>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IP interna asignada por TI</w:t>
            </w:r>
          </w:p>
        </w:tc>
        <w:tc>
          <w:tcPr>
            <w:tcW w:type="dxa" w:w="255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192.168.100.131</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443</w:t>
            </w:r>
          </w:p>
        </w:tc>
      </w:tr>
      <w:tr>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Citrix reverse proxy</w:t>
            </w:r>
          </w:p>
        </w:tc>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Publicacion institucional</w:t>
            </w:r>
          </w:p>
        </w:tc>
        <w:tc>
          <w:tcPr>
            <w:tcW w:type="dxa" w:w="255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192.168.100.131</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443 → 8000</w:t>
            </w:r>
          </w:p>
        </w:tc>
      </w:tr>
      <w:tr>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Servidor aplicacion</w:t>
            </w:r>
          </w:p>
        </w:tc>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FastAPI SercoBot</w:t>
            </w:r>
          </w:p>
        </w:tc>
        <w:tc>
          <w:tcPr>
            <w:tcW w:type="dxa" w:w="255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192.168.9.230</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8000</w:t>
            </w:r>
          </w:p>
        </w:tc>
      </w:tr>
      <w:tr>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Base de datos RAG</w:t>
            </w:r>
          </w:p>
        </w:tc>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PostgreSQL 16 + pgvector</w:t>
            </w:r>
          </w:p>
        </w:tc>
        <w:tc>
          <w:tcPr>
            <w:tcW w:type="dxa" w:w="255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192.168.2.2</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5432</w:t>
            </w:r>
          </w:p>
        </w:tc>
      </w:tr>
      <w:tr>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Motor IA</w:t>
            </w:r>
          </w:p>
        </w:tc>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Ollama (gemma4:e2b + nomic-embed)</w:t>
            </w:r>
          </w:p>
        </w:tc>
        <w:tc>
          <w:tcPr>
            <w:tcW w:type="dxa" w:w="255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localhost</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11434</w:t>
            </w:r>
          </w:p>
        </w:tc>
      </w:tr>
    </w:tbl>
    <w:p/>
    <w:p>
      <w:pPr>
        <w:spacing w:before="160" w:after="80"/>
      </w:pPr>
      <w:r>
        <w:rPr>
          <w:b/>
          <w:color w:val="003366"/>
          <w:sz w:val="22"/>
        </w:rPr>
        <w:t>1.3 Stack tecnologico</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Componente</w:t>
            </w:r>
          </w:p>
        </w:tc>
        <w:tc>
          <w:tcPr>
            <w:tcW w:type="dxa" w:w="2835"/>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Tecnologia</w:t>
            </w:r>
          </w:p>
        </w:tc>
        <w:tc>
          <w:tcPr>
            <w:tcW w:type="dxa" w:w="1701"/>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Version</w:t>
            </w:r>
          </w:p>
        </w:tc>
        <w:tc>
          <w:tcPr>
            <w:tcW w:type="dxa" w:w="2835"/>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Rol</w:t>
            </w:r>
          </w:p>
        </w:tc>
      </w:tr>
      <w:tr>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Servidor API</w:t>
            </w:r>
          </w:p>
        </w:tc>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FastAPI + Uvicorn</w:t>
            </w:r>
          </w:p>
        </w:tc>
        <w:tc>
          <w:tcPr>
            <w:tcW w:type="dxa" w:w="170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0.104+ / 0.24+</w:t>
            </w:r>
          </w:p>
        </w:tc>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Webhook WhatsApp y endpoints admin</w:t>
            </w:r>
          </w:p>
        </w:tc>
      </w:tr>
      <w:tr>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LLM produccion</w:t>
            </w:r>
          </w:p>
        </w:tc>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gemma4:e2b via Ollama</w:t>
            </w:r>
          </w:p>
        </w:tc>
        <w:tc>
          <w:tcPr>
            <w:tcW w:type="dxa" w:w="170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Gemma 4 / v0.20+</w:t>
            </w:r>
          </w:p>
        </w:tc>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Generacion de respuestas en lenguaje natural</w:t>
            </w:r>
          </w:p>
        </w:tc>
      </w:tr>
      <w:tr>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Embeddings</w:t>
            </w:r>
          </w:p>
        </w:tc>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nomic-embed-text via Ollama</w:t>
            </w:r>
          </w:p>
        </w:tc>
        <w:tc>
          <w:tcPr>
            <w:tcW w:type="dxa" w:w="170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768 dimensiones</w:t>
            </w:r>
          </w:p>
        </w:tc>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Vectorizacion de chunks y queries</w:t>
            </w:r>
          </w:p>
        </w:tc>
      </w:tr>
      <w:tr>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Vector DB</w:t>
            </w:r>
          </w:p>
        </w:tc>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PostgreSQL 16 + pgvector</w:t>
            </w:r>
          </w:p>
        </w:tc>
        <w:tc>
          <w:tcPr>
            <w:tcW w:type="dxa" w:w="170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16 / 0.8.2</w:t>
            </w:r>
          </w:p>
        </w:tc>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Busqueda hibrida semantica + lexica</w:t>
            </w:r>
          </w:p>
        </w:tc>
      </w:tr>
      <w:tr>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Reranker</w:t>
            </w:r>
          </w:p>
        </w:tc>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cross-encoder mmarco-mMiniLMv2</w:t>
            </w:r>
          </w:p>
        </w:tc>
        <w:tc>
          <w:tcPr>
            <w:tcW w:type="dxa" w:w="170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L12-H384-v1</w:t>
            </w:r>
          </w:p>
        </w:tc>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Re-ordenamiento de chunks por relevancia</w:t>
            </w:r>
          </w:p>
        </w:tc>
      </w:tr>
      <w:tr>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Mensajeria</w:t>
            </w:r>
          </w:p>
        </w:tc>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Meta Cloud API</w:t>
            </w:r>
          </w:p>
        </w:tc>
        <w:tc>
          <w:tcPr>
            <w:tcW w:type="dxa" w:w="170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v21.0</w:t>
            </w:r>
          </w:p>
        </w:tc>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Recepcion y envio de mensajes WhatsApp</w:t>
            </w:r>
          </w:p>
        </w:tc>
      </w:tr>
      <w:tr>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BD conversaciones</w:t>
            </w:r>
          </w:p>
        </w:tc>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PostgreSQL 16 (asyncpg)</w:t>
            </w:r>
          </w:p>
        </w:tc>
        <w:tc>
          <w:tcPr>
            <w:tcW w:type="dxa" w:w="170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16</w:t>
            </w:r>
          </w:p>
        </w:tc>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Historial de conversaciones por usuario</w:t>
            </w:r>
          </w:p>
        </w:tc>
      </w:tr>
      <w:tr>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Sistema operativo</w:t>
            </w:r>
          </w:p>
        </w:tc>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RHEL 9.3</w:t>
            </w:r>
          </w:p>
        </w:tc>
        <w:tc>
          <w:tcPr>
            <w:tcW w:type="dxa" w:w="170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9.3</w:t>
            </w:r>
          </w:p>
        </w:tc>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Servidor de produccion</w:t>
            </w:r>
          </w:p>
        </w:tc>
      </w:tr>
      <w:tr>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Lenguaje</w:t>
            </w:r>
          </w:p>
        </w:tc>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Python</w:t>
            </w:r>
          </w:p>
        </w:tc>
        <w:tc>
          <w:tcPr>
            <w:tcW w:type="dxa" w:w="170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3.11</w:t>
            </w:r>
          </w:p>
        </w:tc>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Backend completo</w:t>
            </w:r>
          </w:p>
        </w:tc>
      </w:tr>
    </w:tbl>
    <w:p>
      <w:r>
        <w:br w:type="page"/>
      </w:r>
    </w:p>
    <w:tbl>
      <w:tblPr>
        <w:tblStyle w:val="TableGrid"/>
        <w:tblW w:type="auto" w:w="0"/>
        <w:tblLook w:firstColumn="1" w:firstRow="1" w:lastColumn="0" w:lastRow="0" w:noHBand="0" w:noVBand="1" w:val="04A0"/>
      </w:tblPr>
      <w:tblGrid>
        <w:gridCol w:w="9122"/>
      </w:tblGrid>
      <w:tr>
        <w:tc>
          <w:tcPr>
            <w:tcW w:type="dxa" w:w="9122"/>
            <w:shd w:val="clear" w:color="auto" w:fill="003366"/>
          </w:tcPr>
          <w:p>
            <w:pPr>
              <w:jc w:val="left"/>
            </w:pPr>
            <w:r>
              <w:rPr>
                <w:b/>
                <w:color w:val="FFFFFF"/>
                <w:sz w:val="22"/>
              </w:rPr>
              <w:t xml:space="preserve">  ANEXO 2  |  Listado completo de documentos normativos indexados</w:t>
            </w:r>
          </w:p>
        </w:tc>
      </w:tr>
    </w:tbl>
    <w:p/>
    <w:p>
      <w:pPr>
        <w:spacing w:before="40" w:after="60"/>
      </w:pPr>
      <w:r>
        <w:rPr>
          <w:b w:val="0"/>
          <w:i w:val="0"/>
          <w:color w:val="000000"/>
          <w:sz w:val="20"/>
        </w:rPr>
        <w:t>La base de conocimiento de SercoBot contiene 3,059 chunks distribuidos en 17 documentos. El 91.5% de los chunks incluye metadata de articulo para citacion legal precisa.</w:t>
      </w:r>
    </w:p>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454"/>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w:t>
            </w:r>
          </w:p>
        </w:tc>
        <w:tc>
          <w:tcPr>
            <w:tcW w:type="dxa" w:w="4819"/>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Documento</w:t>
            </w:r>
          </w:p>
        </w:tc>
        <w:tc>
          <w:tcPr>
            <w:tcW w:type="dxa" w:w="1417"/>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Tipo</w:t>
            </w:r>
          </w:p>
        </w:tc>
        <w:tc>
          <w:tcPr>
            <w:tcW w:type="dxa" w:w="1020"/>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Chunks</w:t>
            </w:r>
          </w:p>
        </w:tc>
        <w:tc>
          <w:tcPr>
            <w:tcW w:type="dxa" w:w="1644"/>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 con articulo</w:t>
            </w:r>
          </w:p>
        </w:tc>
      </w:tr>
      <w:tr>
        <w:tc>
          <w:tcPr>
            <w:tcW w:type="dxa" w:w="4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w:t>
            </w:r>
          </w:p>
        </w:tc>
        <w:tc>
          <w:tcPr>
            <w:tcW w:type="dxa" w:w="4819"/>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Reglamento General LOSNCP — octubre 2025</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reglamento</w:t>
            </w:r>
          </w:p>
        </w:tc>
        <w:tc>
          <w:tcPr>
            <w:tcW w:type="dxa" w:w="102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1,132</w:t>
            </w:r>
          </w:p>
        </w:tc>
        <w:tc>
          <w:tcPr>
            <w:tcW w:type="dxa" w:w="164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100%</w:t>
            </w:r>
          </w:p>
        </w:tc>
      </w:tr>
      <w:tr>
        <w:tc>
          <w:tcPr>
            <w:tcW w:type="dxa" w:w="4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w:t>
            </w:r>
          </w:p>
        </w:tc>
        <w:tc>
          <w:tcPr>
            <w:tcW w:type="dxa" w:w="4819"/>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Normativa Secundaria de Contratacion Publica 2025</w:t>
            </w:r>
          </w:p>
        </w:tc>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reglamento</w:t>
            </w:r>
          </w:p>
        </w:tc>
        <w:tc>
          <w:tcPr>
            <w:tcW w:type="dxa" w:w="102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1,125</w:t>
            </w:r>
          </w:p>
        </w:tc>
        <w:tc>
          <w:tcPr>
            <w:tcW w:type="dxa" w:w="164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100%</w:t>
            </w:r>
          </w:p>
        </w:tc>
      </w:tr>
      <w:tr>
        <w:tc>
          <w:tcPr>
            <w:tcW w:type="dxa" w:w="4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3</w:t>
            </w:r>
          </w:p>
        </w:tc>
        <w:tc>
          <w:tcPr>
            <w:tcW w:type="dxa" w:w="4819"/>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LOSNCP — RO 140 07-X-2025</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ley</w:t>
            </w:r>
          </w:p>
        </w:tc>
        <w:tc>
          <w:tcPr>
            <w:tcW w:type="dxa" w:w="102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113</w:t>
            </w:r>
          </w:p>
        </w:tc>
        <w:tc>
          <w:tcPr>
            <w:tcW w:type="dxa" w:w="164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100%</w:t>
            </w:r>
          </w:p>
        </w:tc>
      </w:tr>
      <w:tr>
        <w:tc>
          <w:tcPr>
            <w:tcW w:type="dxa" w:w="4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4</w:t>
            </w:r>
          </w:p>
        </w:tc>
        <w:tc>
          <w:tcPr>
            <w:tcW w:type="dxa" w:w="4819"/>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Modelo de Pliego SICAE</w:t>
            </w:r>
          </w:p>
        </w:tc>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resolucion</w:t>
            </w:r>
          </w:p>
        </w:tc>
        <w:tc>
          <w:tcPr>
            <w:tcW w:type="dxa" w:w="102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141</w:t>
            </w:r>
          </w:p>
        </w:tc>
        <w:tc>
          <w:tcPr>
            <w:tcW w:type="dxa" w:w="164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97%</w:t>
            </w:r>
          </w:p>
        </w:tc>
      </w:tr>
      <w:tr>
        <w:tc>
          <w:tcPr>
            <w:tcW w:type="dxa" w:w="4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5</w:t>
            </w:r>
          </w:p>
        </w:tc>
        <w:tc>
          <w:tcPr>
            <w:tcW w:type="dxa" w:w="4819"/>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Metodologia de Control Final Sumillada</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resolucion</w:t>
            </w:r>
          </w:p>
        </w:tc>
        <w:tc>
          <w:tcPr>
            <w:tcW w:type="dxa" w:w="102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137</w:t>
            </w:r>
          </w:p>
        </w:tc>
        <w:tc>
          <w:tcPr>
            <w:tcW w:type="dxa" w:w="164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97%</w:t>
            </w:r>
          </w:p>
        </w:tc>
      </w:tr>
      <w:tr>
        <w:tc>
          <w:tcPr>
            <w:tcW w:type="dxa" w:w="4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6</w:t>
            </w:r>
          </w:p>
        </w:tc>
        <w:tc>
          <w:tcPr>
            <w:tcW w:type="dxa" w:w="4819"/>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Codigo de Etica institucional</w:t>
            </w:r>
          </w:p>
        </w:tc>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resolucion</w:t>
            </w:r>
          </w:p>
        </w:tc>
        <w:tc>
          <w:tcPr>
            <w:tcW w:type="dxa" w:w="102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89</w:t>
            </w:r>
          </w:p>
        </w:tc>
        <w:tc>
          <w:tcPr>
            <w:tcW w:type="dxa" w:w="164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97%</w:t>
            </w:r>
          </w:p>
        </w:tc>
      </w:tr>
      <w:tr>
        <w:tc>
          <w:tcPr>
            <w:tcW w:type="dxa" w:w="4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7</w:t>
            </w:r>
          </w:p>
        </w:tc>
        <w:tc>
          <w:tcPr>
            <w:tcW w:type="dxa" w:w="4819"/>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Manual SOCE — Subasta Inversa Electronica</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manual_soce</w:t>
            </w:r>
          </w:p>
        </w:tc>
        <w:tc>
          <w:tcPr>
            <w:tcW w:type="dxa" w:w="102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108</w:t>
            </w:r>
          </w:p>
        </w:tc>
        <w:tc>
          <w:tcPr>
            <w:tcW w:type="dxa" w:w="164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w:t>
            </w:r>
          </w:p>
        </w:tc>
      </w:tr>
      <w:tr>
        <w:tc>
          <w:tcPr>
            <w:tcW w:type="dxa" w:w="4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8</w:t>
            </w:r>
          </w:p>
        </w:tc>
        <w:tc>
          <w:tcPr>
            <w:tcW w:type="dxa" w:w="4819"/>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RE-SERCOP-2026-0001 (Metodologia de Control)</w:t>
            </w:r>
          </w:p>
        </w:tc>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resolucion</w:t>
            </w:r>
          </w:p>
        </w:tc>
        <w:tc>
          <w:tcPr>
            <w:tcW w:type="dxa" w:w="102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60</w:t>
            </w:r>
          </w:p>
        </w:tc>
        <w:tc>
          <w:tcPr>
            <w:tcW w:type="dxa" w:w="164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97%</w:t>
            </w:r>
          </w:p>
        </w:tc>
      </w:tr>
      <w:tr>
        <w:tc>
          <w:tcPr>
            <w:tcW w:type="dxa" w:w="4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9</w:t>
            </w:r>
          </w:p>
        </w:tc>
        <w:tc>
          <w:tcPr>
            <w:tcW w:type="dxa" w:w="4819"/>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RE-SERCOP-2026-0002 (Comite Interinstitucional)</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resolucion</w:t>
            </w:r>
          </w:p>
        </w:tc>
        <w:tc>
          <w:tcPr>
            <w:tcW w:type="dxa" w:w="102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42</w:t>
            </w:r>
          </w:p>
        </w:tc>
        <w:tc>
          <w:tcPr>
            <w:tcW w:type="dxa" w:w="164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97%</w:t>
            </w:r>
          </w:p>
        </w:tc>
      </w:tr>
      <w:tr>
        <w:tc>
          <w:tcPr>
            <w:tcW w:type="dxa" w:w="4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10</w:t>
            </w:r>
          </w:p>
        </w:tc>
        <w:tc>
          <w:tcPr>
            <w:tcW w:type="dxa" w:w="4819"/>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Norma Interna SICAE (farmacos y bienes estrategicos)</w:t>
            </w:r>
          </w:p>
        </w:tc>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resolucion</w:t>
            </w:r>
          </w:p>
        </w:tc>
        <w:tc>
          <w:tcPr>
            <w:tcW w:type="dxa" w:w="102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33</w:t>
            </w:r>
          </w:p>
        </w:tc>
        <w:tc>
          <w:tcPr>
            <w:tcW w:type="dxa" w:w="164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97%</w:t>
            </w:r>
          </w:p>
        </w:tc>
      </w:tr>
      <w:tr>
        <w:tc>
          <w:tcPr>
            <w:tcW w:type="dxa" w:w="4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11</w:t>
            </w:r>
          </w:p>
        </w:tc>
        <w:tc>
          <w:tcPr>
            <w:tcW w:type="dxa" w:w="4819"/>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Instructivo Extorsion</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resolucion</w:t>
            </w:r>
          </w:p>
        </w:tc>
        <w:tc>
          <w:tcPr>
            <w:tcW w:type="dxa" w:w="102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29</w:t>
            </w:r>
          </w:p>
        </w:tc>
        <w:tc>
          <w:tcPr>
            <w:tcW w:type="dxa" w:w="164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97%</w:t>
            </w:r>
          </w:p>
        </w:tc>
      </w:tr>
      <w:tr>
        <w:tc>
          <w:tcPr>
            <w:tcW w:type="dxa" w:w="4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12</w:t>
            </w:r>
          </w:p>
        </w:tc>
        <w:tc>
          <w:tcPr>
            <w:tcW w:type="dxa" w:w="4819"/>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Resolucion Regimen de Transicion — nov. 2025</w:t>
            </w:r>
          </w:p>
        </w:tc>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resolucion</w:t>
            </w:r>
          </w:p>
        </w:tc>
        <w:tc>
          <w:tcPr>
            <w:tcW w:type="dxa" w:w="102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14</w:t>
            </w:r>
          </w:p>
        </w:tc>
        <w:tc>
          <w:tcPr>
            <w:tcW w:type="dxa" w:w="164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97%</w:t>
            </w:r>
          </w:p>
        </w:tc>
      </w:tr>
      <w:tr>
        <w:tc>
          <w:tcPr>
            <w:tcW w:type="dxa" w:w="4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13</w:t>
            </w:r>
          </w:p>
        </w:tc>
        <w:tc>
          <w:tcPr>
            <w:tcW w:type="dxa" w:w="4819"/>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Manual SOCE — Fase Contractual Bienes y Servicios</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manual_soce</w:t>
            </w:r>
          </w:p>
        </w:tc>
        <w:tc>
          <w:tcPr>
            <w:tcW w:type="dxa" w:w="102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19</w:t>
            </w:r>
          </w:p>
        </w:tc>
        <w:tc>
          <w:tcPr>
            <w:tcW w:type="dxa" w:w="164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w:t>
            </w:r>
          </w:p>
        </w:tc>
      </w:tr>
      <w:tr>
        <w:tc>
          <w:tcPr>
            <w:tcW w:type="dxa" w:w="4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14</w:t>
            </w:r>
          </w:p>
        </w:tc>
        <w:tc>
          <w:tcPr>
            <w:tcW w:type="dxa" w:w="4819"/>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RE-SERCOP-2024-0144</w:t>
            </w:r>
          </w:p>
        </w:tc>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resolucion</w:t>
            </w:r>
          </w:p>
        </w:tc>
        <w:tc>
          <w:tcPr>
            <w:tcW w:type="dxa" w:w="102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5</w:t>
            </w:r>
          </w:p>
        </w:tc>
        <w:tc>
          <w:tcPr>
            <w:tcW w:type="dxa" w:w="164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97%</w:t>
            </w:r>
          </w:p>
        </w:tc>
      </w:tr>
      <w:tr>
        <w:tc>
          <w:tcPr>
            <w:tcW w:type="dxa" w:w="4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15</w:t>
            </w:r>
          </w:p>
        </w:tc>
        <w:tc>
          <w:tcPr>
            <w:tcW w:type="dxa" w:w="4819"/>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RE-SERCOP-2025-0152</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resolucion</w:t>
            </w:r>
          </w:p>
        </w:tc>
        <w:tc>
          <w:tcPr>
            <w:tcW w:type="dxa" w:w="102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5</w:t>
            </w:r>
          </w:p>
        </w:tc>
        <w:tc>
          <w:tcPr>
            <w:tcW w:type="dxa" w:w="164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97%</w:t>
            </w:r>
          </w:p>
        </w:tc>
      </w:tr>
      <w:tr>
        <w:tc>
          <w:tcPr>
            <w:tcW w:type="dxa" w:w="4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16</w:t>
            </w:r>
          </w:p>
        </w:tc>
        <w:tc>
          <w:tcPr>
            <w:tcW w:type="dxa" w:w="4819"/>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Fe de Errata RE-SERCOP-2024-0142</w:t>
            </w:r>
          </w:p>
        </w:tc>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resolucion</w:t>
            </w:r>
          </w:p>
        </w:tc>
        <w:tc>
          <w:tcPr>
            <w:tcW w:type="dxa" w:w="102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w:t>
            </w:r>
          </w:p>
        </w:tc>
        <w:tc>
          <w:tcPr>
            <w:tcW w:type="dxa" w:w="164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97%</w:t>
            </w:r>
          </w:p>
        </w:tc>
      </w:tr>
      <w:tr>
        <w:tc>
          <w:tcPr>
            <w:tcW w:type="dxa" w:w="4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17</w:t>
            </w:r>
          </w:p>
        </w:tc>
        <w:tc>
          <w:tcPr>
            <w:tcW w:type="dxa" w:w="4819"/>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Glosario de Terminos SERCOP</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manual</w:t>
            </w:r>
          </w:p>
        </w:tc>
        <w:tc>
          <w:tcPr>
            <w:tcW w:type="dxa" w:w="102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6</w:t>
            </w:r>
          </w:p>
        </w:tc>
        <w:tc>
          <w:tcPr>
            <w:tcW w:type="dxa" w:w="164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0%</w:t>
            </w:r>
          </w:p>
        </w:tc>
      </w:tr>
      <w:tr>
        <w:tc>
          <w:tcPr>
            <w:tcW w:type="dxa" w:w="4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r>
          </w:p>
        </w:tc>
        <w:tc>
          <w:tcPr>
            <w:tcW w:type="dxa" w:w="4819"/>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TOTAL</w:t>
            </w:r>
          </w:p>
        </w:tc>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17 documentos</w:t>
            </w:r>
          </w:p>
        </w:tc>
        <w:tc>
          <w:tcPr>
            <w:tcW w:type="dxa" w:w="102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3,059</w:t>
            </w:r>
          </w:p>
        </w:tc>
        <w:tc>
          <w:tcPr>
            <w:tcW w:type="dxa" w:w="164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91.5%</w:t>
            </w:r>
          </w:p>
        </w:tc>
      </w:tr>
    </w:tbl>
    <w:p/>
    <w:p>
      <w:pPr>
        <w:spacing w:before="40" w:after="60"/>
      </w:pPr>
      <w:r>
        <w:rPr>
          <w:b w:val="0"/>
          <w:i/>
          <w:color w:val="000000"/>
          <w:sz w:val="20"/>
        </w:rPr>
        <w:t>Nota: Los manuales SOCE (manual_soce) tienen 1% de metadata de articulo porque son documentos procedimentales, no normativos. Es el comportamiento esperado.</w:t>
      </w:r>
    </w:p>
    <w:p/>
    <w:p>
      <w:pPr>
        <w:spacing w:before="160" w:after="80"/>
      </w:pPr>
      <w:r>
        <w:rPr>
          <w:b/>
          <w:color w:val="003366"/>
          <w:sz w:val="22"/>
        </w:rPr>
        <w:t>Documentos pendientes de indexar</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118"/>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Documento</w:t>
            </w:r>
          </w:p>
        </w:tc>
        <w:tc>
          <w:tcPr>
            <w:tcW w:type="dxa" w:w="1417"/>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Tipo</w:t>
            </w:r>
          </w:p>
        </w:tc>
        <w:tc>
          <w:tcPr>
            <w:tcW w:type="dxa" w:w="1134"/>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Prioridad</w:t>
            </w:r>
          </w:p>
        </w:tc>
        <w:tc>
          <w:tcPr>
            <w:tcW w:type="dxa" w:w="3685"/>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Por que importa</w:t>
            </w:r>
          </w:p>
        </w:tc>
      </w:tr>
      <w:tr>
        <w:tc>
          <w:tcPr>
            <w:tcW w:type="dxa" w:w="3118"/>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Manual SOCE — Menor Cuantia bienes/servicios</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manual_soce</w:t>
            </w:r>
          </w:p>
        </w:tc>
        <w:tc>
          <w:tcPr>
            <w:tcW w:type="dxa" w:w="113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Alta</w:t>
            </w:r>
          </w:p>
        </w:tc>
        <w:tc>
          <w:tcPr>
            <w:tcW w:type="dxa" w:w="368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Proceso mas comun en contratacion publica</w:t>
            </w:r>
          </w:p>
        </w:tc>
      </w:tr>
      <w:tr>
        <w:tc>
          <w:tcPr>
            <w:tcW w:type="dxa" w:w="3118"/>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Manual SOCE — Menor Cuantia obras</w:t>
            </w:r>
          </w:p>
        </w:tc>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manual_soce</w:t>
            </w:r>
          </w:p>
        </w:tc>
        <w:tc>
          <w:tcPr>
            <w:tcW w:type="dxa" w:w="113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Alta</w:t>
            </w:r>
          </w:p>
        </w:tc>
        <w:tc>
          <w:tcPr>
            <w:tcW w:type="dxa" w:w="368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Segundo proceso mas frecuente</w:t>
            </w:r>
          </w:p>
        </w:tc>
      </w:tr>
      <w:tr>
        <w:tc>
          <w:tcPr>
            <w:tcW w:type="dxa" w:w="3118"/>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Manual SOCE — Registro de Proveedores</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manual_soce</w:t>
            </w:r>
          </w:p>
        </w:tc>
        <w:tc>
          <w:tcPr>
            <w:tcW w:type="dxa" w:w="113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Alta</w:t>
            </w:r>
          </w:p>
        </w:tc>
        <w:tc>
          <w:tcPr>
            <w:tcW w:type="dxa" w:w="368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Alta demanda de ciudadanos nuevos</w:t>
            </w:r>
          </w:p>
        </w:tc>
      </w:tr>
      <w:tr>
        <w:tc>
          <w:tcPr>
            <w:tcW w:type="dxa" w:w="3118"/>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Manual SOCE — Contrataciones de Emergencia</w:t>
            </w:r>
          </w:p>
        </w:tc>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manual_soce</w:t>
            </w:r>
          </w:p>
        </w:tc>
        <w:tc>
          <w:tcPr>
            <w:tcW w:type="dxa" w:w="113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Media</w:t>
            </w:r>
          </w:p>
        </w:tc>
        <w:tc>
          <w:tcPr>
            <w:tcW w:type="dxa" w:w="368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Preguntas frecuentes en situaciones urgentes</w:t>
            </w:r>
          </w:p>
        </w:tc>
      </w:tr>
      <w:tr>
        <w:tc>
          <w:tcPr>
            <w:tcW w:type="dxa" w:w="3118"/>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Manual SOCE — Feria Inclusiva</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manual_soce</w:t>
            </w:r>
          </w:p>
        </w:tc>
        <w:tc>
          <w:tcPr>
            <w:tcW w:type="dxa" w:w="113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Media</w:t>
            </w:r>
          </w:p>
        </w:tc>
        <w:tc>
          <w:tcPr>
            <w:tcW w:type="dxa" w:w="368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Audiencia EPS y MIPYMES</w:t>
            </w:r>
          </w:p>
        </w:tc>
      </w:tr>
      <w:tr>
        <w:tc>
          <w:tcPr>
            <w:tcW w:type="dxa" w:w="3118"/>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COA (Codigo Organico Administrativo)</w:t>
            </w:r>
          </w:p>
        </w:tc>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ley</w:t>
            </w:r>
          </w:p>
        </w:tc>
        <w:tc>
          <w:tcPr>
            <w:tcW w:type="dxa" w:w="113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Media</w:t>
            </w:r>
          </w:p>
        </w:tc>
        <w:tc>
          <w:tcPr>
            <w:tcW w:type="dxa" w:w="368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Capitulos de recursos e impugnaciones formales</w:t>
            </w:r>
          </w:p>
        </w:tc>
      </w:tr>
      <w:tr>
        <w:tc>
          <w:tcPr>
            <w:tcW w:type="dxa" w:w="3118"/>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Resolucion montos PIE 2026</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resolucion</w:t>
            </w:r>
          </w:p>
        </w:tc>
        <w:tc>
          <w:tcPr>
            <w:tcW w:type="dxa" w:w="113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Alta</w:t>
            </w:r>
          </w:p>
        </w:tc>
        <w:tc>
          <w:tcPr>
            <w:tcW w:type="dxa" w:w="368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Fuente citable oficial para umbrales USD 2026</w:t>
            </w:r>
          </w:p>
        </w:tc>
      </w:tr>
    </w:tbl>
    <w:p>
      <w:r>
        <w:br w:type="page"/>
      </w:r>
    </w:p>
    <w:tbl>
      <w:tblPr>
        <w:tblStyle w:val="TableGrid"/>
        <w:tblW w:type="auto" w:w="0"/>
        <w:tblLook w:firstColumn="1" w:firstRow="1" w:lastColumn="0" w:lastRow="0" w:noHBand="0" w:noVBand="1" w:val="04A0"/>
      </w:tblPr>
      <w:tblGrid>
        <w:gridCol w:w="9122"/>
      </w:tblGrid>
      <w:tr>
        <w:tc>
          <w:tcPr>
            <w:tcW w:type="dxa" w:w="9122"/>
            <w:shd w:val="clear" w:color="auto" w:fill="003366"/>
          </w:tcPr>
          <w:p>
            <w:pPr>
              <w:jc w:val="left"/>
            </w:pPr>
            <w:r>
              <w:rPr>
                <w:b/>
                <w:color w:val="FFFFFF"/>
                <w:sz w:val="22"/>
              </w:rPr>
              <w:t xml:space="preserve">  ANEXO 3  |  Informe de diagnostico de conectividad (13/04/2026)</w:t>
            </w:r>
          </w:p>
        </w:tc>
      </w:tr>
    </w:tbl>
    <w:p/>
    <w:p>
      <w:pPr>
        <w:spacing w:before="40" w:after="60"/>
      </w:pPr>
      <w:r>
        <w:rPr>
          <w:b w:val="0"/>
          <w:i w:val="0"/>
          <w:color w:val="000000"/>
          <w:sz w:val="20"/>
        </w:rPr>
        <w:t>Script ejecutado: scripts/detectar_firewall.py  |  Equipo: JRUI-L9790-UIO  |  Fecha: 2026-04-13 09:46</w:t>
      </w:r>
    </w:p>
    <w:p/>
    <w:p>
      <w:pPr>
        <w:spacing w:before="160" w:after="80"/>
      </w:pPr>
      <w:r>
        <w:rPr>
          <w:b/>
          <w:color w:val="003366"/>
          <w:sz w:val="22"/>
        </w:rPr>
        <w:t>Servicios locales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Servicio</w:t>
            </w:r>
          </w:p>
        </w:tc>
        <w:tc>
          <w:tcPr>
            <w:tcW w:type="dxa" w:w="1701"/>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Host:Puerto</w:t>
            </w:r>
          </w:p>
        </w:tc>
        <w:tc>
          <w:tcPr>
            <w:tcW w:type="dxa" w:w="1417"/>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Estado</w:t>
            </w:r>
          </w:p>
        </w:tc>
        <w:tc>
          <w:tcPr>
            <w:tcW w:type="dxa" w:w="3685"/>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Observacion</w:t>
            </w:r>
          </w:p>
        </w:tc>
      </w:tr>
      <w:tr>
        <w:tc>
          <w:tcPr>
            <w:tcW w:type="dxa" w:w="255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Ollama (LLM + embeddings)</w:t>
            </w:r>
          </w:p>
        </w:tc>
        <w:tc>
          <w:tcPr>
            <w:tcW w:type="dxa" w:w="170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localhost:11434</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C00000"/>
                <w:sz w:val="17"/>
              </w:rPr>
              <w:t>BLOQUEADO</w:t>
            </w:r>
          </w:p>
        </w:tc>
        <w:tc>
          <w:tcPr>
            <w:tcW w:type="dxa" w:w="368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Servicio no activo en ese momento — ahora en produccion</w:t>
            </w:r>
          </w:p>
        </w:tc>
      </w:tr>
      <w:tr>
        <w:tc>
          <w:tcPr>
            <w:tcW w:type="dxa" w:w="255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PostgreSQL (base RAG)</w:t>
            </w:r>
          </w:p>
        </w:tc>
        <w:tc>
          <w:tcPr>
            <w:tcW w:type="dxa" w:w="170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localhost:5432</w:t>
            </w:r>
          </w:p>
        </w:tc>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C00000"/>
                <w:sz w:val="17"/>
              </w:rPr>
              <w:t>BLOQUEADO</w:t>
            </w:r>
          </w:p>
        </w:tc>
        <w:tc>
          <w:tcPr>
            <w:tcW w:type="dxa" w:w="368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Servicio no activo en ese momento — ahora en VM pg-db (192.168.2.2)</w:t>
            </w:r>
          </w:p>
        </w:tc>
      </w:tr>
      <w:tr>
        <w:tc>
          <w:tcPr>
            <w:tcW w:type="dxa" w:w="255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FastAPI (servidor del bot)</w:t>
            </w:r>
          </w:p>
        </w:tc>
        <w:tc>
          <w:tcPr>
            <w:tcW w:type="dxa" w:w="170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localhost:8000</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C00000"/>
                <w:sz w:val="17"/>
              </w:rPr>
              <w:t>BLOQUEADO</w:t>
            </w:r>
          </w:p>
        </w:tc>
        <w:tc>
          <w:tcPr>
            <w:tcW w:type="dxa" w:w="368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Servicio no activo en ese momento — ahora corriendo en 192.168.9.230:8000</w:t>
            </w:r>
          </w:p>
        </w:tc>
      </w:tr>
    </w:tbl>
    <w:p/>
    <w:p>
      <w:pPr>
        <w:spacing w:before="160" w:after="80"/>
      </w:pPr>
      <w:r>
        <w:rPr>
          <w:b/>
          <w:color w:val="003366"/>
          <w:sz w:val="22"/>
        </w:rPr>
        <w:t>Meta WhatsApp API</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Servicio</w:t>
            </w:r>
          </w:p>
        </w:tc>
        <w:tc>
          <w:tcPr>
            <w:tcW w:type="dxa" w:w="1984"/>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Host:Puerto</w:t>
            </w:r>
          </w:p>
        </w:tc>
        <w:tc>
          <w:tcPr>
            <w:tcW w:type="dxa" w:w="1701"/>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Estado</w:t>
            </w:r>
          </w:p>
        </w:tc>
        <w:tc>
          <w:tcPr>
            <w:tcW w:type="dxa" w:w="3118"/>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Observacion</w:t>
            </w:r>
          </w:p>
        </w:tc>
      </w:tr>
      <w:tr>
        <w:tc>
          <w:tcPr>
            <w:tcW w:type="dxa" w:w="255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graph.facebook.com HTTPS</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graph.facebook.com:443</w:t>
            </w:r>
          </w:p>
        </w:tc>
        <w:tc>
          <w:tcPr>
            <w:tcW w:type="dxa" w:w="170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BF6000"/>
                <w:sz w:val="17"/>
              </w:rPr>
              <w:t>PARCIAL / CRITICO</w:t>
            </w:r>
          </w:p>
        </w:tc>
        <w:tc>
          <w:tcPr>
            <w:tcW w:type="dxa" w:w="3118"/>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SSL rechazado por Citrix DPI — pendiente bypass Franklin Arias</w:t>
            </w:r>
          </w:p>
        </w:tc>
      </w:tr>
      <w:tr>
        <w:tc>
          <w:tcPr>
            <w:tcW w:type="dxa" w:w="255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graph.facebook.com DNS</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graph.facebook.com:443</w:t>
            </w:r>
          </w:p>
        </w:tc>
        <w:tc>
          <w:tcPr>
            <w:tcW w:type="dxa" w:w="170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ABIERTO</w:t>
            </w:r>
          </w:p>
        </w:tc>
        <w:tc>
          <w:tcPr>
            <w:tcW w:type="dxa" w:w="3118"/>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Resolucion DNS correcta (28ms)</w:t>
            </w:r>
          </w:p>
        </w:tc>
      </w:tr>
    </w:tbl>
    <w:p/>
    <w:p>
      <w:pPr>
        <w:spacing w:before="160" w:after="80"/>
      </w:pPr>
      <w:r>
        <w:rPr>
          <w:b/>
          <w:color w:val="003366"/>
          <w:sz w:val="22"/>
        </w:rPr>
        <w:t>Portal SERCOP y acceso a internet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Servicio</w:t>
            </w:r>
          </w:p>
        </w:tc>
        <w:tc>
          <w:tcPr>
            <w:tcW w:type="dxa" w:w="2551"/>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Host:Puerto</w:t>
            </w:r>
          </w:p>
        </w:tc>
        <w:tc>
          <w:tcPr>
            <w:tcW w:type="dxa" w:w="1417"/>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Estado</w:t>
            </w:r>
          </w:p>
        </w:tc>
        <w:tc>
          <w:tcPr>
            <w:tcW w:type="dxa" w:w="2835"/>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Latencia</w:t>
            </w:r>
          </w:p>
        </w:tc>
      </w:tr>
      <w:tr>
        <w:tc>
          <w:tcPr>
            <w:tcW w:type="dxa" w:w="255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compraspublicas.gob.ec</w:t>
            </w:r>
          </w:p>
        </w:tc>
        <w:tc>
          <w:tcPr>
            <w:tcW w:type="dxa" w:w="255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portal.compraspublicas.gob.ec:443</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ABIERTO</w:t>
            </w:r>
          </w:p>
        </w:tc>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27ms — HTTP 200</w:t>
            </w:r>
          </w:p>
        </w:tc>
      </w:tr>
      <w:tr>
        <w:tc>
          <w:tcPr>
            <w:tcW w:type="dxa" w:w="255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sercop.gob.ec</w:t>
            </w:r>
          </w:p>
        </w:tc>
        <w:tc>
          <w:tcPr>
            <w:tcW w:type="dxa" w:w="255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www.sercop.gob.ec:443</w:t>
            </w:r>
          </w:p>
        </w:tc>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ABIERTO</w:t>
            </w:r>
          </w:p>
        </w:tc>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16ms — HTTP 200</w:t>
            </w:r>
          </w:p>
        </w:tc>
      </w:tr>
      <w:tr>
        <w:tc>
          <w:tcPr>
            <w:tcW w:type="dxa" w:w="255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PyPI (dependencias Python)</w:t>
            </w:r>
          </w:p>
        </w:tc>
        <w:tc>
          <w:tcPr>
            <w:tcW w:type="dxa" w:w="255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pypi.org:443</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ABIERTO</w:t>
            </w:r>
          </w:p>
        </w:tc>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41ms — HTTP 200</w:t>
            </w:r>
          </w:p>
        </w:tc>
      </w:tr>
      <w:tr>
        <w:tc>
          <w:tcPr>
            <w:tcW w:type="dxa" w:w="255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Docker Hub</w:t>
            </w:r>
          </w:p>
        </w:tc>
        <w:tc>
          <w:tcPr>
            <w:tcW w:type="dxa" w:w="255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registry-1.docker.io:443</w:t>
            </w:r>
          </w:p>
        </w:tc>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ABIERTO</w:t>
            </w:r>
          </w:p>
        </w:tc>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110ms</w:t>
            </w:r>
          </w:p>
        </w:tc>
      </w:tr>
      <w:tr>
        <w:tc>
          <w:tcPr>
            <w:tcW w:type="dxa" w:w="255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Ollama Download (modelos LLM)</w:t>
            </w:r>
          </w:p>
        </w:tc>
        <w:tc>
          <w:tcPr>
            <w:tcW w:type="dxa" w:w="255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registry.ollama.ai:443</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ABIERTO</w:t>
            </w:r>
          </w:p>
        </w:tc>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22ms</w:t>
            </w:r>
          </w:p>
        </w:tc>
      </w:tr>
      <w:tr>
        <w:tc>
          <w:tcPr>
            <w:tcW w:type="dxa" w:w="255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DNS publico Google</w:t>
            </w:r>
          </w:p>
        </w:tc>
        <w:tc>
          <w:tcPr>
            <w:tcW w:type="dxa" w:w="255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8.8.8.8:53</w:t>
            </w:r>
          </w:p>
        </w:tc>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C00000"/>
                <w:sz w:val="17"/>
              </w:rPr>
              <w:t>BLOQUEADO</w:t>
            </w:r>
          </w:p>
        </w:tc>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DROP silencioso</w:t>
            </w:r>
          </w:p>
        </w:tc>
      </w:tr>
      <w:tr>
        <w:tc>
          <w:tcPr>
            <w:tcW w:type="dxa" w:w="255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HuggingFace (reranker)</w:t>
            </w:r>
          </w:p>
        </w:tc>
        <w:tc>
          <w:tcPr>
            <w:tcW w:type="dxa" w:w="255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huggingface.co:443</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BF6000"/>
                <w:sz w:val="17"/>
              </w:rPr>
              <w:t>PARCIAL</w:t>
            </w:r>
          </w:p>
        </w:tc>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SSL rechazado — bypass habilitado 15/04</w:t>
            </w:r>
          </w:p>
        </w:tc>
      </w:tr>
    </w:tbl>
    <w:p/>
    <w:p>
      <w:pPr>
        <w:spacing w:before="160" w:after="80"/>
      </w:pPr>
      <w:r>
        <w:rPr>
          <w:b/>
          <w:color w:val="003366"/>
          <w:sz w:val="22"/>
        </w:rPr>
        <w:t>Resumen y acciones resultantes</w:t>
      </w:r>
    </w:p>
    <w:tbl>
      <w:tblPr>
        <w:tblStyle w:val="TableGrid"/>
        <w:tblW w:type="auto" w:w="0"/>
        <w:jc w:val="center"/>
        <w:tblLook w:firstColumn="1" w:firstRow="1" w:lastColumn="0" w:lastRow="0" w:noHBand="0" w:noVBand="1" w:val="04A0"/>
      </w:tblPr>
      <w:tblGrid>
        <w:gridCol w:w="4561"/>
        <w:gridCol w:w="4561"/>
      </w:tblGrid>
      <w:tr>
        <w:tc>
          <w:tcPr>
            <w:tcW w:type="dxa" w:w="3685"/>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Metrica</w:t>
            </w:r>
          </w:p>
        </w:tc>
        <w:tc>
          <w:tcPr>
            <w:tcW w:type="dxa" w:w="5669"/>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Valor</w:t>
            </w:r>
          </w:p>
        </w:tc>
      </w:tr>
      <w:tr>
        <w:tc>
          <w:tcPr>
            <w:tcW w:type="dxa" w:w="368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Total pruebas realizadas</w:t>
            </w:r>
          </w:p>
        </w:tc>
        <w:tc>
          <w:tcPr>
            <w:tcW w:type="dxa" w:w="5669"/>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12</w:t>
            </w:r>
          </w:p>
        </w:tc>
      </w:tr>
      <w:tr>
        <w:tc>
          <w:tcPr>
            <w:tcW w:type="dxa" w:w="368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Conexiones abiertas</w:t>
            </w:r>
          </w:p>
        </w:tc>
        <w:tc>
          <w:tcPr>
            <w:tcW w:type="dxa" w:w="5669"/>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6 (50%)</w:t>
            </w:r>
          </w:p>
        </w:tc>
      </w:tr>
      <w:tr>
        <w:tc>
          <w:tcPr>
            <w:tcW w:type="dxa" w:w="368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Conexiones bloqueadas</w:t>
            </w:r>
          </w:p>
        </w:tc>
        <w:tc>
          <w:tcPr>
            <w:tcW w:type="dxa" w:w="5669"/>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4 (33%)</w:t>
            </w:r>
          </w:p>
        </w:tc>
      </w:tr>
      <w:tr>
        <w:tc>
          <w:tcPr>
            <w:tcW w:type="dxa" w:w="368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Conexiones parciales</w:t>
            </w:r>
          </w:p>
        </w:tc>
        <w:tc>
          <w:tcPr>
            <w:tcW w:type="dxa" w:w="5669"/>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 (17%)</w:t>
            </w:r>
          </w:p>
        </w:tc>
      </w:tr>
      <w:tr>
        <w:tc>
          <w:tcPr>
            <w:tcW w:type="dxa" w:w="368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Criticos sin resolver al 13/04</w:t>
            </w:r>
          </w:p>
        </w:tc>
        <w:tc>
          <w:tcPr>
            <w:tcW w:type="dxa" w:w="5669"/>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4 servicios (Ollama local, PostgreSQL local, Meta HTTPS, DNS externo)</w:t>
            </w:r>
          </w:p>
        </w:tc>
      </w:tr>
      <w:tr>
        <w:tc>
          <w:tcPr>
            <w:tcW w:type="dxa" w:w="368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Estado al 15/04/2026</w:t>
            </w:r>
          </w:p>
        </w:tc>
        <w:tc>
          <w:tcPr>
            <w:tcW w:type="dxa" w:w="5669"/>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Resuelto: Ollama + PostgreSQL en produccion. Pendiente: graph.facebook.com SSL bypass</w:t>
            </w:r>
          </w:p>
        </w:tc>
      </w:tr>
    </w:tbl>
    <w:p/>
    <w:p>
      <w:pPr>
        <w:spacing w:before="40" w:after="60"/>
      </w:pPr>
      <w:r>
        <w:rPr>
          <w:b/>
          <w:i w:val="0"/>
          <w:color w:val="C00000"/>
          <w:sz w:val="20"/>
        </w:rPr>
        <w:t>Accion pendiente critica: solicitar a Franklin Arias (Administrador de Firewall) agregar graph.facebook.com a la lista de bypass de inspeccion SSL del firewall perimetral. Sin esta habilitacion el bot genera respuestas pero no puede entregarlas al usuario via Meta API.</w:t>
      </w:r>
    </w:p>
    <w:p>
      <w:r>
        <w:br w:type="page"/>
      </w:r>
    </w:p>
    <w:tbl>
      <w:tblPr>
        <w:tblStyle w:val="TableGrid"/>
        <w:tblW w:type="auto" w:w="0"/>
        <w:tblLook w:firstColumn="1" w:firstRow="1" w:lastColumn="0" w:lastRow="0" w:noHBand="0" w:noVBand="1" w:val="04A0"/>
      </w:tblPr>
      <w:tblGrid>
        <w:gridCol w:w="9122"/>
      </w:tblGrid>
      <w:tr>
        <w:tc>
          <w:tcPr>
            <w:tcW w:type="dxa" w:w="9122"/>
            <w:shd w:val="clear" w:color="auto" w:fill="003366"/>
          </w:tcPr>
          <w:p>
            <w:pPr>
              <w:jc w:val="left"/>
            </w:pPr>
            <w:r>
              <w:rPr>
                <w:b/>
                <w:color w:val="FFFFFF"/>
                <w:sz w:val="22"/>
              </w:rPr>
              <w:t xml:space="preserve">  ANEXO 4  |  Ticket MANTIS — Habilitacion de infraestructura (15/04/2026)</w:t>
            </w:r>
          </w:p>
        </w:tc>
      </w:tr>
    </w:tbl>
    <w:p/>
    <w:p>
      <w:pPr>
        <w:spacing w:before="40" w:after="60"/>
      </w:pPr>
      <w:r>
        <w:rPr>
          <w:b w:val="0"/>
          <w:i w:val="0"/>
          <w:color w:val="000000"/>
          <w:sz w:val="20"/>
        </w:rPr>
        <w:t>Sistema: MANTIS Bug Tracker — SERCOP  |  Area: Infraestructura y Operaciones TIC</w:t>
      </w:r>
    </w:p>
    <w:p/>
    <w:p>
      <w:pPr>
        <w:spacing w:before="160" w:after="80"/>
      </w:pPr>
      <w:r>
        <w:rPr>
          <w:b/>
          <w:color w:val="003366"/>
          <w:sz w:val="22"/>
        </w:rPr>
        <w:t>Datos del ticket</w:t>
      </w:r>
    </w:p>
    <w:tbl>
      <w:tblPr>
        <w:tblStyle w:val="TableGrid"/>
        <w:tblW w:type="auto" w:w="0"/>
        <w:jc w:val="center"/>
        <w:tblLook w:firstColumn="1" w:firstRow="1" w:lastColumn="0" w:lastRow="0" w:noHBand="0" w:noVBand="1" w:val="04A0"/>
      </w:tblPr>
      <w:tblGrid>
        <w:gridCol w:w="4561"/>
        <w:gridCol w:w="4561"/>
      </w:tblGrid>
      <w:tr>
        <w:tc>
          <w:tcPr>
            <w:tcW w:type="dxa" w:w="2835"/>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Campo</w:t>
            </w:r>
          </w:p>
        </w:tc>
        <w:tc>
          <w:tcPr>
            <w:tcW w:type="dxa" w:w="6520"/>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Valor</w:t>
            </w:r>
          </w:p>
        </w:tc>
      </w:tr>
      <w:tr>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Numero de ticket</w:t>
            </w:r>
          </w:p>
        </w:tc>
        <w:tc>
          <w:tcPr>
            <w:tcW w:type="dxa" w:w="652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Pendiente asignacion MANTIS</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Titulo</w:t>
            </w:r>
          </w:p>
        </w:tc>
        <w:tc>
          <w:tcPr>
            <w:tcW w:type="dxa" w:w="652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Habilitacion de infraestructura para SercoBot — Asistente Virtual SERCOP</w:t>
            </w:r>
          </w:p>
        </w:tc>
      </w:tr>
      <w:tr>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Proyecto</w:t>
            </w:r>
          </w:p>
        </w:tc>
        <w:tc>
          <w:tcPr>
            <w:tcW w:type="dxa" w:w="652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TIC — Infraestructura y Operaciones</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Categoria</w:t>
            </w:r>
          </w:p>
        </w:tc>
        <w:tc>
          <w:tcPr>
            <w:tcW w:type="dxa" w:w="652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Solicitud de servicio</w:t>
            </w:r>
          </w:p>
        </w:tc>
      </w:tr>
      <w:tr>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Prioridad</w:t>
            </w:r>
          </w:p>
        </w:tc>
        <w:tc>
          <w:tcPr>
            <w:tcW w:type="dxa" w:w="652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Alta</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Estado final</w:t>
            </w:r>
          </w:p>
        </w:tc>
        <w:tc>
          <w:tcPr>
            <w:tcW w:type="dxa" w:w="652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Resuelto (parcialmente — ver pendientes)</w:t>
            </w:r>
          </w:p>
        </w:tc>
      </w:tr>
      <w:tr>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Fecha apertura</w:t>
            </w:r>
          </w:p>
        </w:tc>
        <w:tc>
          <w:tcPr>
            <w:tcW w:type="dxa" w:w="652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2026-04-13</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Fecha resolucion</w:t>
            </w:r>
          </w:p>
        </w:tc>
        <w:tc>
          <w:tcPr>
            <w:tcW w:type="dxa" w:w="652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2026-04-15</w:t>
            </w:r>
          </w:p>
        </w:tc>
      </w:tr>
      <w:tr>
        <w:tc>
          <w:tcPr>
            <w:tcW w:type="dxa" w:w="283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Solicitante</w:t>
            </w:r>
          </w:p>
        </w:tc>
        <w:tc>
          <w:tcPr>
            <w:tcW w:type="dxa" w:w="652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Mauricio Ruiz — Analista de Desarrollo TIC</w:t>
            </w:r>
          </w:p>
        </w:tc>
      </w:tr>
      <w:tr>
        <w:tc>
          <w:tcPr>
            <w:tcW w:type="dxa" w:w="283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Asignado a</w:t>
            </w:r>
          </w:p>
        </w:tc>
        <w:tc>
          <w:tcPr>
            <w:tcW w:type="dxa" w:w="652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Rolando Coello (DNS) / Franklin Arias (Firewall) / Hugo Yepez (Autorizacion)</w:t>
            </w:r>
          </w:p>
        </w:tc>
      </w:tr>
    </w:tbl>
    <w:p/>
    <w:p>
      <w:pPr>
        <w:spacing w:before="160" w:after="80"/>
      </w:pPr>
      <w:r>
        <w:rPr>
          <w:b/>
          <w:color w:val="003366"/>
          <w:sz w:val="22"/>
        </w:rPr>
        <w:t>Hilo de atencion — cronologia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417"/>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Fecha / Hora</w:t>
            </w:r>
          </w:p>
        </w:tc>
        <w:tc>
          <w:tcPr>
            <w:tcW w:type="dxa" w:w="1984"/>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Responsable</w:t>
            </w:r>
          </w:p>
        </w:tc>
        <w:tc>
          <w:tcPr>
            <w:tcW w:type="dxa" w:w="4819"/>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Accion realizada</w:t>
            </w:r>
          </w:p>
        </w:tc>
        <w:tc>
          <w:tcPr>
            <w:tcW w:type="dxa" w:w="1134"/>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Estado</w:t>
            </w:r>
          </w:p>
        </w:tc>
      </w:tr>
      <w:tr>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2026-04-13 09:46</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Mauricio Ruiz</w:t>
            </w:r>
          </w:p>
        </w:tc>
        <w:tc>
          <w:tcPr>
            <w:tcW w:type="dxa" w:w="4819"/>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Ejecucion script diagnostico_firewall.py — identificacion de bloqueos criticos</w:t>
            </w:r>
          </w:p>
        </w:tc>
        <w:tc>
          <w:tcPr>
            <w:tcW w:type="dxa" w:w="113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Completado</w:t>
            </w:r>
          </w:p>
        </w:tc>
      </w:tr>
      <w:tr>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2026-04-13 10:00</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Mauricio Ruiz</w:t>
            </w:r>
          </w:p>
        </w:tc>
        <w:tc>
          <w:tcPr>
            <w:tcW w:type="dxa" w:w="4819"/>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Envio de solicitud formal al equipo TIC con reporte de firewall adjunto</w:t>
            </w:r>
          </w:p>
        </w:tc>
        <w:tc>
          <w:tcPr>
            <w:tcW w:type="dxa" w:w="113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Completado</w:t>
            </w:r>
          </w:p>
        </w:tc>
      </w:tr>
      <w:tr>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2026-04-14</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Equipo TIC</w:t>
            </w:r>
          </w:p>
        </w:tc>
        <w:tc>
          <w:tcPr>
            <w:tcW w:type="dxa" w:w="4819"/>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Revision de solicitud — aprobacion por Hugo Yepez</w:t>
            </w:r>
          </w:p>
        </w:tc>
        <w:tc>
          <w:tcPr>
            <w:tcW w:type="dxa" w:w="113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Completado</w:t>
            </w:r>
          </w:p>
        </w:tc>
      </w:tr>
      <w:tr>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2026-04-15 17:34</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Hugo Yepez</w:t>
            </w:r>
          </w:p>
        </w:tc>
        <w:tc>
          <w:tcPr>
            <w:tcW w:type="dxa" w:w="4819"/>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Autorizacion formal del proyecto SercoBot para publicacion institucional</w:t>
            </w:r>
          </w:p>
        </w:tc>
        <w:tc>
          <w:tcPr>
            <w:tcW w:type="dxa" w:w="113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Completado</w:t>
            </w:r>
          </w:p>
        </w:tc>
      </w:tr>
      <w:tr>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2026-04-15 19:48</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Franklin Arias</w:t>
            </w:r>
          </w:p>
        </w:tc>
        <w:tc>
          <w:tcPr>
            <w:tcW w:type="dxa" w:w="4819"/>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Habilitacion reglas NAT perimetral: puertos 443 y 80 desde 157.100.62.125 hacia 192.168.100.131</w:t>
            </w:r>
          </w:p>
        </w:tc>
        <w:tc>
          <w:tcPr>
            <w:tcW w:type="dxa" w:w="113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Completado</w:t>
            </w:r>
          </w:p>
        </w:tc>
      </w:tr>
      <w:tr>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2026-04-15 20:16</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Rolando Coello</w:t>
            </w:r>
          </w:p>
        </w:tc>
        <w:tc>
          <w:tcPr>
            <w:tcW w:type="dxa" w:w="4819"/>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Configuracion DNS interno: sercobot.sercop.gob.ec -&gt; 192.168.100.131</w:t>
            </w:r>
          </w:p>
        </w:tc>
        <w:tc>
          <w:tcPr>
            <w:tcW w:type="dxa" w:w="113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Completado</w:t>
            </w:r>
          </w:p>
        </w:tc>
      </w:tr>
      <w:tr>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2026-04-15 20:30</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Mauricio Ruiz</w:t>
            </w:r>
          </w:p>
        </w:tc>
        <w:tc>
          <w:tcPr>
            <w:tcW w:type="dxa" w:w="4819"/>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Verificacion publica: curl https://sercobot.sercop.gob.ec/ -&gt; HTTP 200</w:t>
            </w:r>
          </w:p>
        </w:tc>
        <w:tc>
          <w:tcPr>
            <w:tcW w:type="dxa" w:w="113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Completado</w:t>
            </w:r>
          </w:p>
        </w:tc>
      </w:tr>
      <w:tr>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Pendiente</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Franklin Arias</w:t>
            </w:r>
          </w:p>
        </w:tc>
        <w:tc>
          <w:tcPr>
            <w:tcW w:type="dxa" w:w="4819"/>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Agregar graph.facebook.com a bypass de inspeccion SSL (Citrix DPI)</w:t>
            </w:r>
          </w:p>
        </w:tc>
        <w:tc>
          <w:tcPr>
            <w:tcW w:type="dxa" w:w="113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BF6000"/>
                <w:sz w:val="17"/>
              </w:rPr>
              <w:t>Pendiente</w:t>
            </w:r>
          </w:p>
        </w:tc>
      </w:tr>
      <w:tr>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Pendiente</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Franklin Arias</w:t>
            </w:r>
          </w:p>
        </w:tc>
        <w:tc>
          <w:tcPr>
            <w:tcW w:type="dxa" w:w="4819"/>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Agregar github.com a bypass SSL para habilitar git pull en servidor</w:t>
            </w:r>
          </w:p>
        </w:tc>
        <w:tc>
          <w:tcPr>
            <w:tcW w:type="dxa" w:w="113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BF6000"/>
                <w:sz w:val="17"/>
              </w:rPr>
              <w:t>Pendiente</w:t>
            </w:r>
          </w:p>
        </w:tc>
      </w:tr>
    </w:tbl>
    <w:p/>
    <w:p>
      <w:pPr>
        <w:spacing w:before="160" w:after="80"/>
      </w:pPr>
      <w:r>
        <w:rPr>
          <w:b/>
          <w:color w:val="003366"/>
          <w:sz w:val="22"/>
        </w:rPr>
        <w:t>Reglas de firewall habilitadas el 15/04/2026 (Franklin Arias)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397"/>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w:t>
            </w:r>
          </w:p>
        </w:tc>
        <w:tc>
          <w:tcPr>
            <w:tcW w:type="dxa" w:w="1984"/>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Servicio</w:t>
            </w:r>
          </w:p>
        </w:tc>
        <w:tc>
          <w:tcPr>
            <w:tcW w:type="dxa" w:w="3005"/>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Host destino</w:t>
            </w:r>
          </w:p>
        </w:tc>
        <w:tc>
          <w:tcPr>
            <w:tcW w:type="dxa" w:w="850"/>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Puerto</w:t>
            </w:r>
          </w:p>
        </w:tc>
        <w:tc>
          <w:tcPr>
            <w:tcW w:type="dxa" w:w="3118"/>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Uso</w:t>
            </w:r>
          </w:p>
        </w:tc>
      </w:tr>
      <w:tr>
        <w:tc>
          <w:tcPr>
            <w:tcW w:type="dxa" w:w="39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Groq API</w:t>
            </w:r>
          </w:p>
        </w:tc>
        <w:tc>
          <w:tcPr>
            <w:tcW w:type="dxa" w:w="300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api.groq.com</w:t>
            </w:r>
          </w:p>
        </w:tc>
        <w:tc>
          <w:tcPr>
            <w:tcW w:type="dxa" w:w="85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443</w:t>
            </w:r>
          </w:p>
        </w:tc>
        <w:tc>
          <w:tcPr>
            <w:tcW w:type="dxa" w:w="3118"/>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LLM en la nube (respaldo)</w:t>
            </w:r>
          </w:p>
        </w:tc>
      </w:tr>
      <w:tr>
        <w:tc>
          <w:tcPr>
            <w:tcW w:type="dxa" w:w="39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Meta WhatsApp</w:t>
            </w:r>
          </w:p>
        </w:tc>
        <w:tc>
          <w:tcPr>
            <w:tcW w:type="dxa" w:w="300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graph.facebook.com</w:t>
            </w:r>
          </w:p>
        </w:tc>
        <w:tc>
          <w:tcPr>
            <w:tcW w:type="dxa" w:w="85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443</w:t>
            </w:r>
          </w:p>
        </w:tc>
        <w:tc>
          <w:tcPr>
            <w:tcW w:type="dxa" w:w="3118"/>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Envio y recepcion de mensajes WhatsApp Business</w:t>
            </w:r>
          </w:p>
        </w:tc>
      </w:tr>
      <w:tr>
        <w:tc>
          <w:tcPr>
            <w:tcW w:type="dxa" w:w="39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3</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Cloudflare Tunnel</w:t>
            </w:r>
          </w:p>
        </w:tc>
        <w:tc>
          <w:tcPr>
            <w:tcW w:type="dxa" w:w="300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*.cloudflare.com</w:t>
            </w:r>
          </w:p>
        </w:tc>
        <w:tc>
          <w:tcPr>
            <w:tcW w:type="dxa" w:w="85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443</w:t>
            </w:r>
          </w:p>
        </w:tc>
        <w:tc>
          <w:tcPr>
            <w:tcW w:type="dxa" w:w="3118"/>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Tunel alternativo de publicacion</w:t>
            </w:r>
          </w:p>
        </w:tc>
      </w:tr>
      <w:tr>
        <w:tc>
          <w:tcPr>
            <w:tcW w:type="dxa" w:w="39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4</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GitHub</w:t>
            </w:r>
          </w:p>
        </w:tc>
        <w:tc>
          <w:tcPr>
            <w:tcW w:type="dxa" w:w="300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github.com</w:t>
            </w:r>
          </w:p>
        </w:tc>
        <w:tc>
          <w:tcPr>
            <w:tcW w:type="dxa" w:w="85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443</w:t>
            </w:r>
          </w:p>
        </w:tc>
        <w:tc>
          <w:tcPr>
            <w:tcW w:type="dxa" w:w="3118"/>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Control de versiones del codigo</w:t>
            </w:r>
          </w:p>
        </w:tc>
      </w:tr>
      <w:tr>
        <w:tc>
          <w:tcPr>
            <w:tcW w:type="dxa" w:w="39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5</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GitHub objetos</w:t>
            </w:r>
          </w:p>
        </w:tc>
        <w:tc>
          <w:tcPr>
            <w:tcW w:type="dxa" w:w="300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objects.githubusercontent.com</w:t>
            </w:r>
          </w:p>
        </w:tc>
        <w:tc>
          <w:tcPr>
            <w:tcW w:type="dxa" w:w="85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443</w:t>
            </w:r>
          </w:p>
        </w:tc>
        <w:tc>
          <w:tcPr>
            <w:tcW w:type="dxa" w:w="3118"/>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Descarga de releases y assets de GitHub</w:t>
            </w:r>
          </w:p>
        </w:tc>
      </w:tr>
      <w:tr>
        <w:tc>
          <w:tcPr>
            <w:tcW w:type="dxa" w:w="39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6</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PyPI</w:t>
            </w:r>
          </w:p>
        </w:tc>
        <w:tc>
          <w:tcPr>
            <w:tcW w:type="dxa" w:w="300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pypi.org</w:t>
            </w:r>
          </w:p>
        </w:tc>
        <w:tc>
          <w:tcPr>
            <w:tcW w:type="dxa" w:w="85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443</w:t>
            </w:r>
          </w:p>
        </w:tc>
        <w:tc>
          <w:tcPr>
            <w:tcW w:type="dxa" w:w="3118"/>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Instalacion de dependencias Python</w:t>
            </w:r>
          </w:p>
        </w:tc>
      </w:tr>
      <w:tr>
        <w:tc>
          <w:tcPr>
            <w:tcW w:type="dxa" w:w="39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7</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PyPI archivos</w:t>
            </w:r>
          </w:p>
        </w:tc>
        <w:tc>
          <w:tcPr>
            <w:tcW w:type="dxa" w:w="300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files.pythonhosted.org</w:t>
            </w:r>
          </w:p>
        </w:tc>
        <w:tc>
          <w:tcPr>
            <w:tcW w:type="dxa" w:w="85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443</w:t>
            </w:r>
          </w:p>
        </w:tc>
        <w:tc>
          <w:tcPr>
            <w:tcW w:type="dxa" w:w="3118"/>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Descarga de paquetes Python</w:t>
            </w:r>
          </w:p>
        </w:tc>
      </w:tr>
      <w:tr>
        <w:tc>
          <w:tcPr>
            <w:tcW w:type="dxa" w:w="39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8</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Ollama</w:t>
            </w:r>
          </w:p>
        </w:tc>
        <w:tc>
          <w:tcPr>
            <w:tcW w:type="dxa" w:w="300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ollama.com / registry.ollama.ai</w:t>
            </w:r>
          </w:p>
        </w:tc>
        <w:tc>
          <w:tcPr>
            <w:tcW w:type="dxa" w:w="85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443</w:t>
            </w:r>
          </w:p>
        </w:tc>
        <w:tc>
          <w:tcPr>
            <w:tcW w:type="dxa" w:w="3118"/>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Descarga de modelos LLM</w:t>
            </w:r>
          </w:p>
        </w:tc>
      </w:tr>
      <w:tr>
        <w:tc>
          <w:tcPr>
            <w:tcW w:type="dxa" w:w="39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9</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HuggingFace</w:t>
            </w:r>
          </w:p>
        </w:tc>
        <w:tc>
          <w:tcPr>
            <w:tcW w:type="dxa" w:w="300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huggingface.co</w:t>
            </w:r>
          </w:p>
        </w:tc>
        <w:tc>
          <w:tcPr>
            <w:tcW w:type="dxa" w:w="85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443</w:t>
            </w:r>
          </w:p>
        </w:tc>
        <w:tc>
          <w:tcPr>
            <w:tcW w:type="dxa" w:w="3118"/>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Descarga del modelo reranker cross-encoder</w:t>
            </w:r>
          </w:p>
        </w:tc>
      </w:tr>
      <w:tr>
        <w:tc>
          <w:tcPr>
            <w:tcW w:type="dxa" w:w="39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10</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HuggingFace CDN</w:t>
            </w:r>
          </w:p>
        </w:tc>
        <w:tc>
          <w:tcPr>
            <w:tcW w:type="dxa" w:w="300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cdn-lfs.huggingface.co</w:t>
            </w:r>
          </w:p>
        </w:tc>
        <w:tc>
          <w:tcPr>
            <w:tcW w:type="dxa" w:w="85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443</w:t>
            </w:r>
          </w:p>
        </w:tc>
        <w:tc>
          <w:tcPr>
            <w:tcW w:type="dxa" w:w="3118"/>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CDN de archivos de modelos HuggingFace</w:t>
            </w:r>
          </w:p>
        </w:tc>
      </w:tr>
    </w:tbl>
    <w:p/>
    <w:p>
      <w:pPr>
        <w:spacing w:before="160" w:after="80"/>
      </w:pPr>
      <w:r>
        <w:rPr>
          <w:b/>
          <w:color w:val="003366"/>
          <w:sz w:val="22"/>
        </w:rPr>
        <w:t>Infraestructura provisionada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Componente</w:t>
            </w:r>
          </w:p>
        </w:tc>
        <w:tc>
          <w:tcPr>
            <w:tcW w:type="dxa" w:w="3685"/>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Detalle</w:t>
            </w:r>
          </w:p>
        </w:tc>
        <w:tc>
          <w:tcPr>
            <w:tcW w:type="dxa" w:w="1984"/>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Responsable</w:t>
            </w:r>
          </w:p>
        </w:tc>
        <w:tc>
          <w:tcPr>
            <w:tcW w:type="dxa" w:w="1417"/>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Fecha</w:t>
            </w:r>
          </w:p>
        </w:tc>
      </w:tr>
      <w:tr>
        <w:tc>
          <w:tcPr>
            <w:tcW w:type="dxa" w:w="2268"/>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Dominio publico</w:t>
            </w:r>
          </w:p>
        </w:tc>
        <w:tc>
          <w:tcPr>
            <w:tcW w:type="dxa" w:w="368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sercobot.sercop.gob.ec</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Rolando Coello</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2026-04-15</w:t>
            </w:r>
          </w:p>
        </w:tc>
      </w:tr>
      <w:tr>
        <w:tc>
          <w:tcPr>
            <w:tcW w:type="dxa" w:w="2268"/>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IP publica</w:t>
            </w:r>
          </w:p>
        </w:tc>
        <w:tc>
          <w:tcPr>
            <w:tcW w:type="dxa" w:w="368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157.100.62.125 — NAT perimetral puertos 443 y 80</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Franklin Arias</w:t>
            </w:r>
          </w:p>
        </w:tc>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2026-04-15</w:t>
            </w:r>
          </w:p>
        </w:tc>
      </w:tr>
      <w:tr>
        <w:tc>
          <w:tcPr>
            <w:tcW w:type="dxa" w:w="2268"/>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IP interna DMZ (red 100)</w:t>
            </w:r>
          </w:p>
        </w:tc>
        <w:tc>
          <w:tcPr>
            <w:tcW w:type="dxa" w:w="368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192.168.100.131 / mask 255.255.255.0 / GW .35</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Rolando Coello</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2026-04-15</w:t>
            </w:r>
          </w:p>
        </w:tc>
      </w:tr>
      <w:tr>
        <w:tc>
          <w:tcPr>
            <w:tcW w:type="dxa" w:w="2268"/>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Servidor aplicacion</w:t>
            </w:r>
          </w:p>
        </w:tc>
        <w:tc>
          <w:tcPr>
            <w:tcW w:type="dxa" w:w="368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192.168.9.230 — puerto 8000 (FastAPI)</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Mauricio Ruiz</w:t>
            </w:r>
          </w:p>
        </w:tc>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2026-04-15</w:t>
            </w:r>
          </w:p>
        </w:tc>
      </w:tr>
      <w:tr>
        <w:tc>
          <w:tcPr>
            <w:tcW w:type="dxa" w:w="2268"/>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Publicacion</w:t>
            </w:r>
          </w:p>
        </w:tc>
        <w:tc>
          <w:tcPr>
            <w:tcW w:type="dxa" w:w="368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Citrix reverse proxy HTTP-&gt;HTTPS</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Franklin Arias</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2026-04-15</w:t>
            </w:r>
          </w:p>
        </w:tc>
      </w:tr>
      <w:tr>
        <w:tc>
          <w:tcPr>
            <w:tcW w:type="dxa" w:w="2268"/>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Base de datos RAG</w:t>
            </w:r>
          </w:p>
        </w:tc>
        <w:tc>
          <w:tcPr>
            <w:tcW w:type="dxa" w:w="368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PostgreSQL 16 + pgvector 0.8.2 (192.168.2.2)</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Mauricio Ruiz</w:t>
            </w:r>
          </w:p>
        </w:tc>
        <w:tc>
          <w:tcPr>
            <w:tcW w:type="dxa" w:w="1417"/>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2026-04-14</w:t>
            </w:r>
          </w:p>
        </w:tc>
      </w:tr>
      <w:tr>
        <w:tc>
          <w:tcPr>
            <w:tcW w:type="dxa" w:w="2268"/>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Autorizacion institucional</w:t>
            </w:r>
          </w:p>
        </w:tc>
        <w:tc>
          <w:tcPr>
            <w:tcW w:type="dxa" w:w="368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Hugo Yepez — 2026-04-15 17:34</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Hugo Yepez</w:t>
            </w:r>
          </w:p>
        </w:tc>
        <w:tc>
          <w:tcPr>
            <w:tcW w:type="dxa" w:w="1417"/>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2026-04-15</w:t>
            </w:r>
          </w:p>
        </w:tc>
      </w:tr>
    </w:tbl>
    <w:p>
      <w:r>
        <w:br w:type="page"/>
      </w:r>
    </w:p>
    <w:tbl>
      <w:tblPr>
        <w:tblStyle w:val="TableGrid"/>
        <w:tblW w:type="auto" w:w="0"/>
        <w:tblLook w:firstColumn="1" w:firstRow="1" w:lastColumn="0" w:lastRow="0" w:noHBand="0" w:noVBand="1" w:val="04A0"/>
      </w:tblPr>
      <w:tblGrid>
        <w:gridCol w:w="9122"/>
      </w:tblGrid>
      <w:tr>
        <w:tc>
          <w:tcPr>
            <w:tcW w:type="dxa" w:w="9122"/>
            <w:shd w:val="clear" w:color="auto" w:fill="003366"/>
          </w:tcPr>
          <w:p>
            <w:pPr>
              <w:jc w:val="left"/>
            </w:pPr>
            <w:r>
              <w:rPr>
                <w:b/>
                <w:color w:val="FFFFFF"/>
                <w:sz w:val="22"/>
              </w:rPr>
              <w:t xml:space="preserve">  ANEXO 5  |  Resultados de pruebas funcionales — casos de uso validados</w:t>
            </w:r>
          </w:p>
        </w:tc>
      </w:tr>
    </w:tbl>
    <w:p/>
    <w:p>
      <w:pPr>
        <w:spacing w:before="40" w:after="60"/>
      </w:pPr>
      <w:r>
        <w:rPr>
          <w:b w:val="0"/>
          <w:i w:val="0"/>
          <w:color w:val="000000"/>
          <w:sz w:val="20"/>
        </w:rPr>
        <w:t>Las pruebas funcionales se realizaron el 15 y 16 de abril de 2026 sobre el entorno de produccion (sercobot.sercop.gob.ec). Se validaron los 9 escenarios criticos definidos en el documento de prueba de escritorio PED-DIO-2026-206.</w:t>
      </w:r>
    </w:p>
    <w:p/>
    <w:p>
      <w:pPr>
        <w:spacing w:before="160" w:after="80"/>
      </w:pPr>
      <w:r>
        <w:rPr>
          <w:b/>
          <w:color w:val="003366"/>
          <w:sz w:val="22"/>
        </w:rPr>
        <w:t>5.1 Tabla de resultados por caso de uso</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680"/>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N.</w:t>
            </w:r>
          </w:p>
        </w:tc>
        <w:tc>
          <w:tcPr>
            <w:tcW w:type="dxa" w:w="1984"/>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Caso de uso</w:t>
            </w:r>
          </w:p>
        </w:tc>
        <w:tc>
          <w:tcPr>
            <w:tcW w:type="dxa" w:w="1701"/>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Entrada de prueba</w:t>
            </w:r>
          </w:p>
        </w:tc>
        <w:tc>
          <w:tcPr>
            <w:tcW w:type="dxa" w:w="2154"/>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Resultado esperado</w:t>
            </w:r>
          </w:p>
        </w:tc>
        <w:tc>
          <w:tcPr>
            <w:tcW w:type="dxa" w:w="2154"/>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Resultado obtenido</w:t>
            </w:r>
          </w:p>
        </w:tc>
        <w:tc>
          <w:tcPr>
            <w:tcW w:type="dxa" w:w="680"/>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Estado</w:t>
            </w:r>
          </w:p>
        </w:tc>
      </w:tr>
      <w:tr>
        <w:tc>
          <w:tcPr>
            <w:tcW w:type="dxa" w:w="68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CU-01</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Saludo puro -&gt; menu bienvenida</w:t>
            </w:r>
          </w:p>
        </w:tc>
        <w:tc>
          <w:tcPr>
            <w:tcW w:type="dxa" w:w="170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"hola"</w:t>
            </w:r>
          </w:p>
        </w:tc>
        <w:tc>
          <w:tcPr>
            <w:tcW w:type="dxa" w:w="21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Menu de bienvenida con 5 categorias. Sin llamada al LLM.</w:t>
            </w:r>
          </w:p>
        </w:tc>
        <w:tc>
          <w:tcPr>
            <w:tcW w:type="dxa" w:w="21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Recibido menu completo en &lt; 500ms. Sin consumo de tokens.</w:t>
            </w:r>
          </w:p>
        </w:tc>
        <w:tc>
          <w:tcPr>
            <w:tcW w:type="dxa" w:w="68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PASA</w:t>
            </w:r>
          </w:p>
        </w:tc>
      </w:tr>
      <w:tr>
        <w:tc>
          <w:tcPr>
            <w:tcW w:type="dxa" w:w="68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CU-02</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Pregunta normativa -&gt; RAG + articulo</w:t>
            </w:r>
          </w:p>
        </w:tc>
        <w:tc>
          <w:tcPr>
            <w:tcW w:type="dxa" w:w="170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"causales de suspension del RUP"</w:t>
            </w:r>
          </w:p>
        </w:tc>
        <w:tc>
          <w:tcPr>
            <w:tcW w:type="dxa" w:w="21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Respuesta con causales y citacion Art. 16-18 LOSNCP.</w:t>
            </w:r>
          </w:p>
        </w:tc>
        <w:tc>
          <w:tcPr>
            <w:tcW w:type="dxa" w:w="21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Respuesta correcta con citacion Art. 16 LOSNCP. RAG devolvio 4 chunks relevantes.</w:t>
            </w:r>
          </w:p>
        </w:tc>
        <w:tc>
          <w:tcPr>
            <w:tcW w:type="dxa" w:w="68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PASA</w:t>
            </w:r>
          </w:p>
        </w:tc>
      </w:tr>
      <w:tr>
        <w:tc>
          <w:tcPr>
            <w:tcW w:type="dxa" w:w="68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CU-03</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Monto infima cuantia -&gt; tool</w:t>
            </w:r>
          </w:p>
        </w:tc>
        <w:tc>
          <w:tcPr>
            <w:tcW w:type="dxa" w:w="170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"cuanto es el monto de infima cuantia"</w:t>
            </w:r>
          </w:p>
        </w:tc>
        <w:tc>
          <w:tcPr>
            <w:tcW w:type="dxa" w:w="21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Monto exacto 2025 ($7,263) via tool obtener_montos_pie.</w:t>
            </w:r>
          </w:p>
        </w:tc>
        <w:tc>
          <w:tcPr>
            <w:tcW w:type="dxa" w:w="21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Monto correcto $7,263. Tool invocada. RAG no consultado.</w:t>
            </w:r>
          </w:p>
        </w:tc>
        <w:tc>
          <w:tcPr>
            <w:tcW w:type="dxa" w:w="68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PASA</w:t>
            </w:r>
          </w:p>
        </w:tc>
      </w:tr>
      <w:tr>
        <w:tc>
          <w:tcPr>
            <w:tcW w:type="dxa" w:w="68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CU-04</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Monto menor cuantia -&gt; tool</w:t>
            </w:r>
          </w:p>
        </w:tc>
        <w:tc>
          <w:tcPr>
            <w:tcW w:type="dxa" w:w="170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"hasta cuanto es menor cuantia de bienes"</w:t>
            </w:r>
          </w:p>
        </w:tc>
        <w:tc>
          <w:tcPr>
            <w:tcW w:type="dxa" w:w="21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Monto $72,630 con base legal Art. 51 LOSNCP.</w:t>
            </w:r>
          </w:p>
        </w:tc>
        <w:tc>
          <w:tcPr>
            <w:tcW w:type="dxa" w:w="21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Monto correcto $72,630. Art. 51 citado.</w:t>
            </w:r>
          </w:p>
        </w:tc>
        <w:tc>
          <w:tcPr>
            <w:tcW w:type="dxa" w:w="68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PASA</w:t>
            </w:r>
          </w:p>
        </w:tc>
      </w:tr>
      <w:tr>
        <w:tc>
          <w:tcPr>
            <w:tcW w:type="dxa" w:w="68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CU-05</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Plazo de impugnacion -&gt; tool</w:t>
            </w:r>
          </w:p>
        </w:tc>
        <w:tc>
          <w:tcPr>
            <w:tcW w:type="dxa" w:w="170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"cuantos dias tengo para impugnar"</w:t>
            </w:r>
          </w:p>
        </w:tc>
        <w:tc>
          <w:tcPr>
            <w:tcW w:type="dxa" w:w="21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3 dias habiles desde notificacion. Art. 102 LOSNCP.</w:t>
            </w:r>
          </w:p>
        </w:tc>
        <w:tc>
          <w:tcPr>
            <w:tcW w:type="dxa" w:w="21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Plazo correcto 3 dias habiles. Art. 102 LOSNCP citado.</w:t>
            </w:r>
          </w:p>
        </w:tc>
        <w:tc>
          <w:tcPr>
            <w:tcW w:type="dxa" w:w="68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PASA</w:t>
            </w:r>
          </w:p>
        </w:tc>
      </w:tr>
      <w:tr>
        <w:tc>
          <w:tcPr>
            <w:tcW w:type="dxa" w:w="68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CU-06</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Plazo firma de contrato -&gt; tool</w:t>
            </w:r>
          </w:p>
        </w:tc>
        <w:tc>
          <w:tcPr>
            <w:tcW w:type="dxa" w:w="170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"en cuantos dias se firma el contrato"</w:t>
            </w:r>
          </w:p>
        </w:tc>
        <w:tc>
          <w:tcPr>
            <w:tcW w:type="dxa" w:w="21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15 dias habiles desde adjudicacion. Art. 69 LOSNCP.</w:t>
            </w:r>
          </w:p>
        </w:tc>
        <w:tc>
          <w:tcPr>
            <w:tcW w:type="dxa" w:w="21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Plazo correcto 15 dias. Art. 69 citado.</w:t>
            </w:r>
          </w:p>
        </w:tc>
        <w:tc>
          <w:tcPr>
            <w:tcW w:type="dxa" w:w="68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PASA</w:t>
            </w:r>
          </w:p>
        </w:tc>
      </w:tr>
      <w:tr>
        <w:tc>
          <w:tcPr>
            <w:tcW w:type="dxa" w:w="68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CU-07</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Comparacion de procesos -&gt; tools paralelas</w:t>
            </w:r>
          </w:p>
        </w:tc>
        <w:tc>
          <w:tcPr>
            <w:tcW w:type="dxa" w:w="170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"diferencia entre cotizacion y menor cuantia"</w:t>
            </w:r>
          </w:p>
        </w:tc>
        <w:tc>
          <w:tcPr>
            <w:tcW w:type="dxa" w:w="21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Tabla comparativa con montos de ambos procesos en USD.</w:t>
            </w:r>
          </w:p>
        </w:tc>
        <w:tc>
          <w:tcPr>
            <w:tcW w:type="dxa" w:w="21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Comparacion correcta: $72,630 vs $72,630-$544,725. 3 tools invocadas.</w:t>
            </w:r>
          </w:p>
        </w:tc>
        <w:tc>
          <w:tcPr>
            <w:tcW w:type="dxa" w:w="68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PASA</w:t>
            </w:r>
          </w:p>
        </w:tc>
      </w:tr>
      <w:tr>
        <w:tc>
          <w:tcPr>
            <w:tcW w:type="dxa" w:w="68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CU-08</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Que proceso usar -&gt; recomendar_tipo_contratacion</w:t>
            </w:r>
          </w:p>
        </w:tc>
        <w:tc>
          <w:tcPr>
            <w:tcW w:type="dxa" w:w="170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"que proceso uso para comprar computadoras por $50,000"</w:t>
            </w:r>
          </w:p>
        </w:tc>
        <w:tc>
          <w:tcPr>
            <w:tcW w:type="dxa" w:w="21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Recomendacion: Menor Cuantia bienes/servicios.</w:t>
            </w:r>
          </w:p>
        </w:tc>
        <w:tc>
          <w:tcPr>
            <w:tcW w:type="dxa" w:w="21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Proceso correcto identificado. Monto y normativa correctos.</w:t>
            </w:r>
          </w:p>
        </w:tc>
        <w:tc>
          <w:tcPr>
            <w:tcW w:type="dxa" w:w="68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PASA</w:t>
            </w:r>
          </w:p>
        </w:tc>
      </w:tr>
      <w:tr>
        <w:tc>
          <w:tcPr>
            <w:tcW w:type="dxa" w:w="68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CU-09</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Como ser proveedor -&gt; info_rup + RAG</w:t>
            </w:r>
          </w:p>
        </w:tc>
        <w:tc>
          <w:tcPr>
            <w:tcW w:type="dxa" w:w="170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"quiero vender al estado, por donde empiezo"</w:t>
            </w:r>
          </w:p>
        </w:tc>
        <w:tc>
          <w:tcPr>
            <w:tcW w:type="dxa" w:w="21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Pasos del RUP como primer paso obligatorio. Art. 16-18 LOSNCP.</w:t>
            </w:r>
          </w:p>
        </w:tc>
        <w:tc>
          <w:tcPr>
            <w:tcW w:type="dxa" w:w="21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info_rup() invocada primero. Pasos correctos. Costo $0 citado.</w:t>
            </w:r>
          </w:p>
        </w:tc>
        <w:tc>
          <w:tcPr>
            <w:tcW w:type="dxa" w:w="68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PASA</w:t>
            </w:r>
          </w:p>
        </w:tc>
      </w:tr>
      <w:tr>
        <w:tc>
          <w:tcPr>
            <w:tcW w:type="dxa" w:w="68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CU-10</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Fecha actual -&gt; tool fecha</w:t>
            </w:r>
          </w:p>
        </w:tc>
        <w:tc>
          <w:tcPr>
            <w:tcW w:type="dxa" w:w="170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"que dia es hoy"</w:t>
            </w:r>
          </w:p>
        </w:tc>
        <w:tc>
          <w:tcPr>
            <w:tcW w:type="dxa" w:w="21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Fecha y hora actual en Ecuador (UTC-5).</w:t>
            </w:r>
          </w:p>
        </w:tc>
        <w:tc>
          <w:tcPr>
            <w:tcW w:type="dxa" w:w="21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Fecha correcta. Tool obtener_fecha_hora_ecuador invocada.</w:t>
            </w:r>
          </w:p>
        </w:tc>
        <w:tc>
          <w:tcPr>
            <w:tcW w:type="dxa" w:w="68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PASA</w:t>
            </w:r>
          </w:p>
        </w:tc>
      </w:tr>
      <w:tr>
        <w:tc>
          <w:tcPr>
            <w:tcW w:type="dxa" w:w="68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CU-11</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Mensaje multimedia (audio)</w:t>
            </w:r>
          </w:p>
        </w:tc>
        <w:tc>
          <w:tcPr>
            <w:tcW w:type="dxa" w:w="170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Nota de voz de WhatsApp</w:t>
            </w:r>
          </w:p>
        </w:tc>
        <w:tc>
          <w:tcPr>
            <w:tcW w:type="dxa" w:w="21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Respuesta orientativa sin invocar LLM. &lt; 1s.</w:t>
            </w:r>
          </w:p>
        </w:tc>
        <w:tc>
          <w:tcPr>
            <w:tcW w:type="dxa" w:w="21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Mensaje 'Solo puedo responder texto' enviado en &lt; 800ms.</w:t>
            </w:r>
          </w:p>
        </w:tc>
        <w:tc>
          <w:tcPr>
            <w:tcW w:type="dxa" w:w="68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PASA</w:t>
            </w:r>
          </w:p>
        </w:tc>
      </w:tr>
      <w:tr>
        <w:tc>
          <w:tcPr>
            <w:tcW w:type="dxa" w:w="68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CU-12</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Mensaje duplicado (reintento Meta)</w:t>
            </w:r>
          </w:p>
        </w:tc>
        <w:tc>
          <w:tcPr>
            <w:tcW w:type="dxa" w:w="170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Mismo mensaje_id enviado 2 veces</w:t>
            </w:r>
          </w:p>
        </w:tc>
        <w:tc>
          <w:tcPr>
            <w:tcW w:type="dxa" w:w="21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Solo una respuesta entregada al usuario.</w:t>
            </w:r>
          </w:p>
        </w:tc>
        <w:tc>
          <w:tcPr>
            <w:tcW w:type="dxa" w:w="21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Segunda solicitud ignorada. Log: 'Mensaje duplicado ignorado'.</w:t>
            </w:r>
          </w:p>
        </w:tc>
        <w:tc>
          <w:tcPr>
            <w:tcW w:type="dxa" w:w="68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PASA</w:t>
            </w:r>
          </w:p>
        </w:tc>
      </w:tr>
      <w:tr>
        <w:tc>
          <w:tcPr>
            <w:tcW w:type="dxa" w:w="68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CU-13</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Pregunta fuera de scope</w:t>
            </w:r>
          </w:p>
        </w:tc>
        <w:tc>
          <w:tcPr>
            <w:tcW w:type="dxa" w:w="170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"cual es la capital de Francia"</w:t>
            </w:r>
          </w:p>
        </w:tc>
        <w:tc>
          <w:tcPr>
            <w:tcW w:type="dxa" w:w="21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Redireccionar al scope de contratacion publica.</w:t>
            </w:r>
          </w:p>
        </w:tc>
        <w:tc>
          <w:tcPr>
            <w:tcW w:type="dxa" w:w="21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Bot indica que solo atiende temas de contratacion publica.</w:t>
            </w:r>
          </w:p>
        </w:tc>
        <w:tc>
          <w:tcPr>
            <w:tcW w:type="dxa" w:w="68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PASA</w:t>
            </w:r>
          </w:p>
        </w:tc>
      </w:tr>
      <w:tr>
        <w:tc>
          <w:tcPr>
            <w:tcW w:type="dxa" w:w="68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CU-14</w:t>
            </w:r>
          </w:p>
        </w:tc>
        <w:tc>
          <w:tcPr>
            <w:tcW w:type="dxa" w:w="198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Sigla SIE reconocida</w:t>
            </w:r>
          </w:p>
        </w:tc>
        <w:tc>
          <w:tcPr>
            <w:tcW w:type="dxa" w:w="1701"/>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"que es la SIE"</w:t>
            </w:r>
          </w:p>
        </w:tc>
        <w:tc>
          <w:tcPr>
            <w:tcW w:type="dxa" w:w="21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Respuesta sobre Subasta Inversa Electronica. Art. 47 LOSNCP.</w:t>
            </w:r>
          </w:p>
        </w:tc>
        <w:tc>
          <w:tcPr>
            <w:tcW w:type="dxa" w:w="2154"/>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Sigla expandida correctamente. Art. 47 LOSNCP citado.</w:t>
            </w:r>
          </w:p>
        </w:tc>
        <w:tc>
          <w:tcPr>
            <w:tcW w:type="dxa" w:w="680"/>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6000"/>
                <w:sz w:val="17"/>
              </w:rPr>
              <w:t>PASA</w:t>
            </w:r>
          </w:p>
        </w:tc>
      </w:tr>
      <w:tr>
        <w:tc>
          <w:tcPr>
            <w:tcW w:type="dxa" w:w="68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CU-15</w:t>
            </w:r>
          </w:p>
        </w:tc>
        <w:tc>
          <w:tcPr>
            <w:tcW w:type="dxa" w:w="198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Envio de respuesta via Meta API</w:t>
            </w:r>
          </w:p>
        </w:tc>
        <w:tc>
          <w:tcPr>
            <w:tcW w:type="dxa" w:w="1701"/>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Cualquier mensaje procesado correctamente</w:t>
            </w:r>
          </w:p>
        </w:tc>
        <w:tc>
          <w:tcPr>
            <w:tcW w:type="dxa" w:w="21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Respuesta entregada al usuario por WhatsApp.</w:t>
            </w:r>
          </w:p>
        </w:tc>
        <w:tc>
          <w:tcPr>
            <w:tcW w:type="dxa" w:w="2154"/>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PENDIENTE — graph.facebook.com bloqueado por Citrix DPI. Bot genera respuesta pero no puede enviarla.</w:t>
            </w:r>
          </w:p>
        </w:tc>
        <w:tc>
          <w:tcPr>
            <w:tcW w:type="dxa" w:w="680"/>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BF6000"/>
                <w:sz w:val="17"/>
              </w:rPr>
              <w:t>PENDIENTE</w:t>
            </w:r>
          </w:p>
        </w:tc>
      </w:tr>
    </w:tbl>
    <w:p/>
    <w:p>
      <w:pPr>
        <w:spacing w:before="160" w:after="80"/>
      </w:pPr>
      <w:r>
        <w:rPr>
          <w:b/>
          <w:color w:val="003366"/>
          <w:sz w:val="22"/>
        </w:rPr>
        <w:t>5.2 Resumen de resultados</w:t>
      </w:r>
    </w:p>
    <w:tbl>
      <w:tblPr>
        <w:tblStyle w:val="TableGrid"/>
        <w:tblW w:type="auto" w:w="0"/>
        <w:jc w:val="center"/>
        <w:tblLook w:firstColumn="1" w:firstRow="1" w:lastColumn="0" w:lastRow="0" w:noHBand="0" w:noVBand="1" w:val="04A0"/>
      </w:tblPr>
      <w:tblGrid>
        <w:gridCol w:w="4561"/>
        <w:gridCol w:w="4561"/>
      </w:tblGrid>
      <w:tr>
        <w:tc>
          <w:tcPr>
            <w:tcW w:type="dxa" w:w="3685"/>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Metrica</w:t>
            </w:r>
          </w:p>
        </w:tc>
        <w:tc>
          <w:tcPr>
            <w:tcW w:type="dxa" w:w="5669"/>
            <w:shd w:val="clear" w:color="auto" w:fill="003366"/>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8"/>
              </w:rPr>
              <w:t>Valor</w:t>
            </w:r>
          </w:p>
        </w:tc>
      </w:tr>
      <w:tr>
        <w:tc>
          <w:tcPr>
            <w:tcW w:type="dxa" w:w="368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Total casos evaluados</w:t>
            </w:r>
          </w:p>
        </w:tc>
        <w:tc>
          <w:tcPr>
            <w:tcW w:type="dxa" w:w="5669"/>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15</w:t>
            </w:r>
          </w:p>
        </w:tc>
      </w:tr>
      <w:tr>
        <w:tc>
          <w:tcPr>
            <w:tcW w:type="dxa" w:w="368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Casos PASA</w:t>
            </w:r>
          </w:p>
        </w:tc>
        <w:tc>
          <w:tcPr>
            <w:tcW w:type="dxa" w:w="5669"/>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14 (93.3%)</w:t>
            </w:r>
          </w:p>
        </w:tc>
      </w:tr>
      <w:tr>
        <w:tc>
          <w:tcPr>
            <w:tcW w:type="dxa" w:w="368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Casos PENDIENTE</w:t>
            </w:r>
          </w:p>
        </w:tc>
        <w:tc>
          <w:tcPr>
            <w:tcW w:type="dxa" w:w="5669"/>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 (6.7%) — entrega final por Citrix DPI</w:t>
            </w:r>
          </w:p>
        </w:tc>
      </w:tr>
      <w:tr>
        <w:tc>
          <w:tcPr>
            <w:tcW w:type="dxa" w:w="368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Casos FALLA</w:t>
            </w:r>
          </w:p>
        </w:tc>
        <w:tc>
          <w:tcPr>
            <w:tcW w:type="dxa" w:w="5669"/>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0</w:t>
            </w:r>
          </w:p>
        </w:tc>
      </w:tr>
      <w:tr>
        <w:tc>
          <w:tcPr>
            <w:tcW w:type="dxa" w:w="368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Tiempo promedio de respuesta</w:t>
            </w:r>
          </w:p>
        </w:tc>
        <w:tc>
          <w:tcPr>
            <w:tcW w:type="dxa" w:w="5669"/>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~6 segundos (RAG + gemma4:e2b) / &lt; 500ms (shortcuts)</w:t>
            </w:r>
          </w:p>
        </w:tc>
      </w:tr>
      <w:tr>
        <w:tc>
          <w:tcPr>
            <w:tcW w:type="dxa" w:w="368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Precision de citacion legal</w:t>
            </w:r>
          </w:p>
        </w:tc>
        <w:tc>
          <w:tcPr>
            <w:tcW w:type="dxa" w:w="5669"/>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100% de casos con RAG activo</w:t>
            </w:r>
          </w:p>
        </w:tc>
      </w:tr>
      <w:tr>
        <w:tc>
          <w:tcPr>
            <w:tcW w:type="dxa" w:w="3685"/>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Alucinacion de articulos</w:t>
            </w:r>
          </w:p>
        </w:tc>
        <w:tc>
          <w:tcPr>
            <w:tcW w:type="dxa" w:w="5669"/>
            <w:shd w:val="clear" w:color="auto" w:fill="EEF4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0 casos detectados</w:t>
            </w:r>
          </w:p>
        </w:tc>
      </w:tr>
      <w:tr>
        <w:tc>
          <w:tcPr>
            <w:tcW w:type="dxa" w:w="3685"/>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Herramientas (tools) invocadas</w:t>
            </w:r>
          </w:p>
        </w:tc>
        <w:tc>
          <w:tcPr>
            <w:tcW w:type="dxa" w:w="5669"/>
            <w:shd w:val="clear" w:color="auto" w:fill="FFFFFF"/>
            <w:tcBorders>
              <w:top w:val="single" w:sz="4" w:space="0" w:color="BBBBBB"/>
              <w:left w:val="single" w:sz="4" w:space="0" w:color="BBBBBB"/>
              <w:bottom w:val="single" w:sz="4" w:space="0" w:color="BBBBBB"/>
              <w:right w:val="single" w:sz="4" w:space="0" w:color="BBBBBB"/>
            </w:tcBorders>
            <w:vAlign w:val="center"/>
          </w:tcPr>
          <w:p>
            <w:pPr>
              <w:jc w:val="left"/>
            </w:pPr>
            <w:r>
              <w:rPr>
                <w:color w:val="000000"/>
                <w:sz w:val="17"/>
              </w:rPr>
              <w:t>5 de 5 tools validadas</w:t>
            </w:r>
          </w:p>
        </w:tc>
      </w:tr>
    </w:tbl>
    <w:p/>
    <w:p>
      <w:pPr>
        <w:spacing w:before="160" w:after="80"/>
      </w:pPr>
      <w:r>
        <w:rPr>
          <w:b/>
          <w:color w:val="003366"/>
          <w:sz w:val="22"/>
        </w:rPr>
        <w:t>5.3 Pendiente critico</w:t>
      </w:r>
    </w:p>
    <w:p>
      <w:pPr>
        <w:spacing w:before="40" w:after="60"/>
      </w:pPr>
      <w:r>
        <w:rPr>
          <w:b w:val="0"/>
          <w:i w:val="0"/>
          <w:color w:val="C00000"/>
          <w:sz w:val="20"/>
        </w:rPr>
        <w:t>CU-15 — Entrega de respuesta via Meta API: el sistema genera y procesa la respuesta correctamente pero la entrega final al usuario de WhatsApp falla porque el firewall perimetral aplica inspeccion SSL (Citrix DPI) sobre el dominio graph.facebook.com, restableciendo la conexion TCP al momento del handshake TLS.</w:t>
      </w:r>
    </w:p>
    <w:p>
      <w:pPr>
        <w:spacing w:before="40" w:after="60"/>
      </w:pPr>
      <w:r>
        <w:rPr>
          <w:b/>
          <w:i w:val="0"/>
          <w:color w:val="000000"/>
          <w:sz w:val="20"/>
        </w:rPr>
        <w:t>Accion requerida: Franklin Arias debe agregar graph.facebook.com a la lista de dominios excluidos de inspeccion SSL en el firewall Citrix. Una vez aplicado este cambio, el CU-15 quedara resuelto y el sistema estara 100% operativo.</w:t>
      </w:r>
    </w:p>
    <w:p/>
    <w:p>
      <w:pPr>
        <w:jc w:val="center"/>
      </w:pPr>
      <w:r>
        <w:rPr>
          <w:color w:val="888888"/>
          <w:sz w:val="14"/>
        </w:rPr>
        <w:t>SERCOP — Coordinacion de Tecnologia de la Informacion | Anexos IT-DIO-2026-206 v1.0 | 16 abril 2026 | Uso interno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