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b/>
          <w:bCs/>
        </w:rPr>
        <w:t xml:space="preserve">ОФЕРТА</w:t>
      </w:r>
      <w:r/>
    </w:p>
    <w:p>
      <w:r>
        <w:t xml:space="preserve">Компания DENZEL IC VE DIS TICARET LIMITED SIRKETI («Исполнитель», «мы», «нас») и клиент («Вы», «ваш», «Клиент») вместе именуемые «Стороны», а по отдельности «Сторона» соглашаются с нижеследующим:</w:t>
      </w:r>
      <w:r/>
    </w:p>
    <w:p>
      <w:r>
        <w:br/>
      </w:r>
      <w:r>
        <w:rPr>
          <w:b/>
          <w:bCs/>
        </w:rPr>
        <w:t xml:space="preserve">1. Введение</w:t>
      </w:r>
      <w:r/>
    </w:p>
    <w:p>
      <w:r>
        <w:rPr>
          <w:b/>
          <w:bCs/>
        </w:rPr>
        <w:br/>
      </w:r>
      <w:r>
        <w:t xml:space="preserve">1.1. Настоящая оферта («Оферта») представляет собой предложение заключить с Исполнителем договор («Договор») на изложенных ниже условиях.</w:t>
      </w:r>
      <w:r>
        <w:br/>
        <w:t xml:space="preserve">1.2. Услуги предоставляются компанией DENZEL IC VE DIS TICARET LIMITED SIRKETI, созданной и существующей в соответствии с законодательством Турецкой Республики, с зарегистрированным офисом по адресу: ESILKOY MAH. </w:t>
      </w:r>
      <w:r>
        <w:rPr>
          <w:lang w:val="pl-PL"/>
        </w:rPr>
        <w:t xml:space="preserve">ATATURK CD. DTM BLOK NO:10/1 IC KAPI NO:226 BAKIRKOY/ISTANBUL</w:t>
      </w:r>
      <w:r>
        <w:rPr>
          <w:lang w:val="pl-PL"/>
        </w:rPr>
        <w:br/>
        <w:t xml:space="preserve">1.3. </w:t>
      </w:r>
      <w:r>
        <w:t xml:space="preserve">Клиент и Исполнитель, вступая в договорные отношения, исходят из нижеследующего:</w:t>
      </w:r>
      <w:r>
        <w:br/>
        <w:t xml:space="preserve">1.3.1. Клиент желает приобрести Товар в свою собственность;</w:t>
      </w:r>
      <w:r>
        <w:br/>
        <w:t xml:space="preserve">1.3.2. Исполнитель соглашается принять 100% предоплату стоимости Товара;</w:t>
      </w:r>
      <w:r>
        <w:br/>
        <w:t xml:space="preserve">1.3.3. после получения предоплаты Исполнитель осуществит доставку Товара Клиенту.</w:t>
      </w:r>
      <w:r>
        <w:br/>
        <w:t xml:space="preserve">1.4. Исполнитель оказывает услуги по следующей модели:</w:t>
      </w:r>
      <w:r>
        <w:br/>
        <w:t xml:space="preserve">1.4.1. Вы отправляете нам ссылку на интересующий Вас Товар;</w:t>
      </w:r>
      <w:r>
        <w:br/>
        <w:t xml:space="preserve">1.4.2. мы подтверждаем ваш Заказ и предлагаем Вам совершить предоплату Товара;</w:t>
      </w:r>
      <w:r>
        <w:br/>
        <w:t xml:space="preserve">1.4.3. Вы оплачиваете Заказ по реквизитам, указанным Исполнителем;</w:t>
      </w:r>
      <w:r>
        <w:br/>
        <w:t xml:space="preserve">1.4.4. Вы заключаете договор с указанным Исполнителем таможенным представителем в порядке, предусмотренном пунктом 3.3 (это позволит Вам не заниматься таможенным оформлением самостоятельно);</w:t>
      </w:r>
      <w:r>
        <w:br/>
        <w:t xml:space="preserve">1.4.5. Вы получаете Ваш Заказ по согласованному Сторонами адресу доставки.</w:t>
      </w:r>
      <w:r>
        <w:br/>
        <w:t xml:space="preserve">1.5. Оплата Заказа свидетельствует об акцепте Клиентом оферты Таможенного представителя.</w:t>
      </w:r>
      <w:r>
        <w:br/>
        <w:t xml:space="preserve">1.6. Вы не имеете права выдвигать встречные условия или делать какие-либо оговорки, связанные с содержанием данной Оферты. Если Вы не согласны с условиями данной Оферты, то Вам не следует каким-либо образом взаимодействовать с сервисом «</w:t>
      </w:r>
      <w:r>
        <w:t xml:space="preserve">IMERCH</w:t>
      </w:r>
      <w:r>
        <w:t xml:space="preserve">».</w:t>
      </w:r>
      <w:r>
        <w:br/>
      </w:r>
      <w:r/>
    </w:p>
    <w:p>
      <w:r>
        <w:rPr>
          <w:b/>
          <w:bCs/>
        </w:rPr>
        <w:t xml:space="preserve">2. Понятия и определения</w:t>
      </w:r>
      <w:r/>
    </w:p>
    <w:p>
      <w:r>
        <w:rPr>
          <w:b/>
          <w:bCs/>
        </w:rPr>
        <w:br/>
      </w:r>
      <w:r>
        <w:t xml:space="preserve">2.1. Следующие понятия имеют такое значение, которое им придается ниже:</w:t>
      </w:r>
      <w:r>
        <w:br/>
        <w:t xml:space="preserve">2.1.1. «Акцепт» – принятие Оферты Клиентом, в результате чего Клиент и Исполнитель становятся связанными условиями Договора. Акцепт Оферты осуществляется способами, указанными в пункте 3.1. настоящего Договора.</w:t>
      </w:r>
      <w:r>
        <w:br/>
        <w:t xml:space="preserve">2.1.2. «Агент Исполнителя» – ООО "ИНТЕРМЕРК", заключившее с Исполнителем агентский договор, по которому по поручению Исполнителя, от его имени и за его счет обязалось совершать юридически значимые действия по соглашениям,</w:t>
      </w:r>
      <w:r>
        <w:t xml:space="preserve"> заключенным между Клиентом и Исполнителем, в том числе посредством приема клиентских платежей, а также заключать договора и вести расчеты на территории РФ со всеми третьими лицами, которые участвуют в обеспечении доставки и таможенного оформления Товаров.</w:t>
      </w:r>
      <w:r>
        <w:br/>
        <w:t xml:space="preserve">2.1.3. «IMERCH» – сервис по организации выкупа и доставки Товаров, включающий функционал чат-бота Исполнителя (Telegram ID: @</w:t>
      </w:r>
      <w:r>
        <w:t xml:space="preserve">imechbot</w:t>
      </w:r>
      <w:r>
        <w:t xml:space="preserve">).</w:t>
      </w:r>
      <w:r>
        <w:br/>
        <w:t xml:space="preserve">2.1.4. «Товары» – объекты материального мира, предлагаемые к продаже Продавцами. При этом Товар должен (1) предназначаться для личного использования; и (2) не является </w:t>
      </w:r>
      <w:r>
        <w:t xml:space="preserve">ограниченным в гражданском обороте страны Исполнителя и/или страны Клиента.</w:t>
      </w:r>
      <w:r>
        <w:br/>
        <w:t xml:space="preserve">2.1.5. «Служба Доставки» – лицо, ответс</w:t>
      </w:r>
      <w:r>
        <w:t xml:space="preserve">твенное за доставку Заказа по выбранному Клиентом адресу, в том числе экспресс-перевозчик ООО "СДЭК-Глобал", которому предоставлено право на доставку товаров, а также их декларирование и выполнение иных таможенных операций необходимых для выпуска товаров. </w:t>
      </w:r>
      <w:r>
        <w:t xml:space="preserve">В целях выполнения условий настоящей оферты,</w:t>
      </w:r>
      <w:r>
        <w:t xml:space="preserve"> ООО "СДЭК-Глобал" в праве привлекать агентов и третьих лиц для декларирования и иных операций по таможенному оформлению товаров. Таким агентом выступает АО "Грузовой терминал Пулково", в</w:t>
      </w:r>
      <w:r>
        <w:t xml:space="preserve">ключенный в список участников ВЭД, осуществляющих доставку и декларирование экспресс-грузов физических лиц, в рамках приказа Минфина России от 26.04.2022 № 62н. Публичная оферта организации расположена по адресу https://pulkovo-cargo.ru/clients/docs.     .</w:t>
      </w:r>
      <w:r>
        <w:br/>
        <w:t xml:space="preserve">2.1.6. «Продавцы» – третьи лица, которые торгуют Товарами на маркетплейсах (торговых площадках), через собственные сайты в сети «Интернет» и/или иным законным способом предлагают Товары к продаже.</w:t>
      </w:r>
      <w:r>
        <w:br/>
        <w:t xml:space="preserve">2.1.7. «Таможенный представитель» – лицо, указанное в настоящем Договоре и совершающее от имени и по поручению декларанта или иного заинтересованного лица таможенные операции в соответствии с российским таможенным за</w:t>
      </w:r>
      <w:r>
        <w:t xml:space="preserve">конодательством. Заключая настоящий Договор, Заказчик прямо соглашается привлечь Таможенного представителя компанию АО "Грузовой терминал Пулково" для целей таможенного оформления Заказа и совершает акцепт оферты Таможенного представителя расположенной по </w:t>
      </w:r>
      <w:hyperlink r:id="rId8" w:tooltip="https://pulkovo-cargo.ru/clients/docs" w:history="1">
        <w:r>
          <w:rPr>
            <w:rStyle w:val="653"/>
          </w:rPr>
          <w:t xml:space="preserve">ссылке</w:t>
        </w:r>
      </w:hyperlink>
      <w:r>
        <w:t xml:space="preserve">.</w:t>
      </w:r>
      <w:r>
        <w:br/>
        <w:t xml:space="preserve">2.2. Иные понятия и определения, используемые в настоящем Договоре, должны пониматься так, как того требует их общеупотребительное значение, если иное не установлено соответствующим пунктом настоящего Договора.</w:t>
      </w:r>
      <w:r>
        <w:br/>
      </w:r>
      <w:r/>
    </w:p>
    <w:p>
      <w:r>
        <w:rPr>
          <w:b/>
          <w:bCs/>
        </w:rPr>
        <w:t xml:space="preserve">3. Общие Положения</w:t>
      </w:r>
      <w:r/>
    </w:p>
    <w:p>
      <w:r>
        <w:rPr>
          <w:b/>
          <w:bCs/>
        </w:rPr>
        <w:br/>
      </w:r>
      <w:r>
        <w:t xml:space="preserve">3.1. Акцепт Оферты совершается Клиентом посредством любого из следующих действий:</w:t>
      </w:r>
      <w:r>
        <w:br/>
        <w:t xml:space="preserve">3.1.1. нажатием кнопки «</w:t>
      </w:r>
      <w:r>
        <w:t xml:space="preserve">ок</w:t>
      </w:r>
      <w:r>
        <w:t xml:space="preserve">» в диалоге между Вами и чат-ботом Исполнителя и/или совершением иного эквивалентного действия, свидетельствующего о Вашем согласии с условиями Оферты; и/или</w:t>
      </w:r>
      <w:r>
        <w:br/>
        <w:t xml:space="preserve">3.1.2. предоставлением Клиентом своих персональных данных через чат-бот Исполнителя; и/или сайта www.imerch.eu</w:t>
      </w:r>
      <w:r>
        <w:br/>
        <w:t xml:space="preserve">3.1.3. при оплате Заказа Агенту Исполнителя.</w:t>
      </w:r>
      <w:r>
        <w:br/>
        <w:t xml:space="preserve">3.2. Клиент понимает, что совершение какого-либо из указанных выше действий явным образом свидетельствуют о принятии Клиентом условий Оферты.</w:t>
      </w:r>
      <w:r>
        <w:br/>
        <w:t xml:space="preserve">3.3. Принимая Оферту, Вы даете заверения о следующих обстоятельствах:</w:t>
      </w:r>
      <w:r>
        <w:br/>
        <w:t xml:space="preserve">3.3.1. Вы достигли возраста совершеннолетия;</w:t>
      </w:r>
      <w:r>
        <w:br/>
        <w:t xml:space="preserve">3.3.2. Вы не ограниченны в правоспособности и дееспособности;</w:t>
      </w:r>
      <w:r>
        <w:br/>
        <w:t xml:space="preserve">3.3.3. Вы внимательно ознакомились с текстом Договора и понимаете его смысл;</w:t>
      </w:r>
      <w:r>
        <w:br/>
        <w:t xml:space="preserve">3.3.4. Вы заключаете Договор исключительно для ваших личных (домашних, семейных, бытовых) нужд, не связанных с предпринимательской деятельностью (не для перепродажи Товара); Ваши нужды не противоречат применимому праву;</w:t>
      </w:r>
      <w:r>
        <w:br/>
        <w:t xml:space="preserve">3.3.5. Договор отражает Ваши интересы и не содержит явно обременительных для Вас условий.</w:t>
      </w:r>
      <w:r>
        <w:br/>
        <w:t xml:space="preserve">3</w:t>
      </w:r>
      <w:r>
        <w:t xml:space="preserve">.4. Обязательным условием для заключения данного Договора является также одновременное заключение Клиентом договора на оказание услуг таможенного представителя со СДЭК. Клиент подтверждает, что согласен с заключением договора таможенного представительства.</w:t>
      </w:r>
      <w:r>
        <w:br/>
        <w:t xml:space="preserve">3.5. Клиент понимает и соглашается с тем, что для целей исполнения Договора </w:t>
      </w:r>
      <w:r>
        <w:t xml:space="preserve">Исполнителем будет осуществляться обработка персональных данных Клиента. Клиент согласен, что в ходе исполнения Договора персональные данные Клиента могут быть переданы третьим лицам (например, Службе Доставки, Агенту Исполнителя и </w:t>
      </w:r>
      <w:r>
        <w:t xml:space="preserve">т.д.</w:t>
      </w:r>
      <w:r>
        <w:t xml:space="preserve">). Такая передача (предоставление) персональных данных происходит в связи с исполнением данного Договора.</w:t>
      </w:r>
      <w:r>
        <w:br/>
        <w:t xml:space="preserve">3.6. Сервис «IMERCH» не является маркетплейсом и/или агрегатором информации о товарах (услугах) и не занимается реализацией Товаров от своего имени (не является Продавцом Товаров). Заключая настоящий Договор, </w:t>
      </w:r>
      <w:r>
        <w:t xml:space="preserve">Стороны исходят из того, что к деятельности Исполнителя не применяется Постановление Правительства РФ от 31 декабря 2020 года № 2463 и ряд положений ФЗ «О защите прав потребителей», включая требования к качеству Товаров и/или срокам их доставки (передачи).</w:t>
      </w:r>
      <w:r>
        <w:br/>
        <w:t xml:space="preserve">3.7. Настоящий Договор заключается Сторонами на сайте www.imerch.eu или в мессенджере «Telegram» посредством использования функционала чат-бота Исполнителя. Стороны также признают обмен электронными сообщениями </w:t>
      </w:r>
      <w:r>
        <w:t xml:space="preserve">через чат-бота</w:t>
      </w:r>
      <w:r>
        <w:t xml:space="preserve"> Исполнителя в качестве надлежащего способа коммуникации (например, для целей формирования Заказов).</w:t>
      </w:r>
      <w:r/>
    </w:p>
    <w:p>
      <w:r>
        <w:br/>
      </w:r>
      <w:r>
        <w:rPr>
          <w:b/>
          <w:bCs/>
        </w:rPr>
        <w:t xml:space="preserve">4. Предмет Договора</w:t>
      </w:r>
      <w:r/>
    </w:p>
    <w:p>
      <w:r>
        <w:rPr>
          <w:b/>
          <w:bCs/>
        </w:rPr>
        <w:br/>
      </w:r>
      <w:r>
        <w:t xml:space="preserve">4.1. Исполнитель за вознаграждение от своего имени, но за счет Клиента совершает определенные юридические и иные действия, необходимые для исполнения поручения Клиента, как это предусмотрено пунктом 4.2. настоящего Договора.</w:t>
      </w:r>
      <w:r>
        <w:br/>
        <w:t xml:space="preserve">4.2. Исполнитель осущ</w:t>
      </w:r>
      <w:r>
        <w:t xml:space="preserve">ествляет выкуп Товара у Продавцов, с последующим переходом Товара в собственность Клиента, организовывает международную перевозку и доставку Товаров до согласованного с клиентом пункта выдачи СДЭК, а также может оказывать Клиенту иные сопутствующие услуги.</w:t>
      </w:r>
      <w:r>
        <w:br/>
        <w:t xml:space="preserve">4.3. Сторонами согласовано, что настоящий Договор не устанавливает сроки совершения сделок по выкупу Товара, осуществления международной перевозки, таможенного оформления и</w:t>
      </w:r>
      <w:r>
        <w:t xml:space="preserve"> доставки Товара Клиенту. При этом Исполнитель обязуется приложить коммерчески обоснованные усилия, чтобы указанные выше действия были осуществлены в соответствии с такими сроками, которые характерны для аналогичной деятельности и/или в иной разумный срок.</w:t>
      </w:r>
      <w:r/>
    </w:p>
    <w:p>
      <w:r>
        <w:br/>
      </w:r>
      <w:r>
        <w:rPr>
          <w:b/>
          <w:bCs/>
        </w:rPr>
        <w:t xml:space="preserve">5. Расчеты и порядок оказания Услуг</w:t>
      </w:r>
      <w:r/>
    </w:p>
    <w:p>
      <w:r>
        <w:rPr>
          <w:b/>
          <w:bCs/>
        </w:rPr>
        <w:br/>
      </w:r>
      <w:r>
        <w:t xml:space="preserve">5.1. Клиент делает заказ о</w:t>
      </w:r>
      <w:r>
        <w:t xml:space="preserve">пределенного Товара с помощью чат-бота Исполнителя («Заказ»). Заказ должен содержать ссылку на Товар и иные необходимые Исполнителю данные (например, информацию о цвете/размере/фасоне). Исполнитель при необходимости может задать Клиенту уточняющие вопросы.</w:t>
      </w:r>
      <w:r>
        <w:br/>
        <w:t xml:space="preserve">5.2. В процессе формирования Заказа Клиенту будет предложено выбрать удобную ему точку выдачи СДЭК для доставки товара.</w:t>
      </w:r>
      <w:r>
        <w:br/>
        <w:t xml:space="preserve">5.3. Исполнитель формирует стоимость Заказа и направляет ее Клиенту.</w:t>
      </w:r>
      <w:r>
        <w:br/>
        <w:t xml:space="preserve">5.4. Стоимость Заказа включает в себя сумму, необходимую для во</w:t>
      </w:r>
      <w:r>
        <w:t xml:space="preserve">змещения расходов Исполнителя по поручению Клиента, а также агентское вознаграждение Исполнителя. Стоимость Заказа не подлежит обсуждению со стороны Клиента; размер стоимости Заказа может меняться в порядке и на условиях, установленных настоящим Договором.</w:t>
      </w:r>
      <w:r>
        <w:br/>
        <w:t xml:space="preserve">5.5. Клиент производит оплату Заказа или отказывается от Заказа.</w:t>
      </w:r>
      <w:r>
        <w:br/>
        <w:t xml:space="preserve">5.6. Клиент должен произвести оплату в срок, не превышающий 24 (двадцати четырех) часов с момента формирования стоимости Заказа. Если Клиент не оплатит Заказ в указанный срок, </w:t>
      </w:r>
      <w:r>
        <w:t xml:space="preserve">то Исполнитель будет иметь право произвести перерасчет стоимости Заказа или отказать в приеме Заказа.</w:t>
      </w:r>
      <w:r>
        <w:br/>
        <w:t xml:space="preserve">5.7. После поступления оплаты от Клиента Исполнитель производит выкуп Товара.</w:t>
      </w:r>
      <w:r>
        <w:br/>
        <w:t xml:space="preserve">5.8. После т</w:t>
      </w:r>
      <w:r>
        <w:t xml:space="preserve">ого как Исполнитель выкупит Товар, Клиенту будет направлено сообщение с подтверждением и номер, по которому можно будет отследить перемещение посылки. После выкупа Товара стоимость Заказа становится фиксированной и не может быть изменена в большую сторону.</w:t>
      </w:r>
      <w:r>
        <w:br/>
        <w:t xml:space="preserve">5.9. Подтверждение выкупа Товара и направление номера для отслеживания считаются надлежащим выполнением обязанности Исполнителя по направлению агентских отчетов.</w:t>
      </w:r>
      <w:r>
        <w:br/>
        <w:t xml:space="preserve">5.10. До момента выкупа Товара Исполнитель может изменить стоимость Заказа при наличии разумной и уважительной причины (например, в случае колебания курса валют или изменения цены продажи Товара).</w:t>
      </w:r>
      <w:r>
        <w:br/>
        <w:t xml:space="preserve">5.11. До момента выкупа Товара Клиент может потребовать возврата уплаченных денежных средств. В случае поступления такого требования Исполнитель производит возврат уплаченных денежных средств за вычетом фактически понесенных Исполнителем расходов.</w:t>
      </w:r>
      <w:r/>
    </w:p>
    <w:p>
      <w:r>
        <w:br/>
      </w:r>
      <w:r>
        <w:rPr>
          <w:b/>
          <w:bCs/>
        </w:rPr>
        <w:t xml:space="preserve">6. Права и обязанности Клиента</w:t>
      </w:r>
      <w:r/>
    </w:p>
    <w:p>
      <w:r>
        <w:rPr>
          <w:b/>
          <w:bCs/>
        </w:rPr>
        <w:br/>
      </w:r>
      <w:r>
        <w:t xml:space="preserve">6.1. Клиент имеет право:</w:t>
      </w:r>
      <w:r>
        <w:br/>
        <w:t xml:space="preserve">6.1.1. запрашивать доступ к информации об обработке персональных данных Клиента; направлять требования об удалении персональных данных и (или) ограничении их обработки;</w:t>
      </w:r>
      <w:r>
        <w:br/>
        <w:t xml:space="preserve">6.1.2. получать агентские отчеты в порядке, предусмотренным пунктом 5.9. настоящего Договора.</w:t>
      </w:r>
      <w:r>
        <w:br/>
        <w:t xml:space="preserve">6.2. Клиент обязуется:</w:t>
      </w:r>
      <w:r>
        <w:br/>
        <w:t xml:space="preserve">6.2.1. компенсировать расходы Исполнителя, связанные с исполнением поручения Клиента и выплатить агентское вознаграждение путем оплаты полной стоимости Заказа;</w:t>
      </w:r>
      <w:r>
        <w:br/>
        <w:t xml:space="preserve">6.2.2. осуществлять расчеты по Договору с использованием принадлежащих Клиенту платежных средств;</w:t>
      </w:r>
      <w:r>
        <w:br/>
        <w:t xml:space="preserve">6.2.3. самостоятельно отслеживать статус доставки Заказа;</w:t>
      </w:r>
      <w:r>
        <w:br/>
        <w:t xml:space="preserve">6.2.4. принять посылку с Заказом в установленный Службой Доставки срок;</w:t>
      </w:r>
      <w:r>
        <w:br/>
        <w:t xml:space="preserve">6.2.5. предоставить Исполнителю и/или указанным им лицам достоверные персональные данные Клиента и иную информацию, в том числе такую информацию, которая необходима для надлежащего таможенного оформления посылки с Заказом;</w:t>
      </w:r>
      <w:r>
        <w:br/>
        <w:t xml:space="preserve">6.2.6. компенсировать все и любые убытки Исполнителя, возникшие по вине Клиента.</w:t>
      </w:r>
      <w:r/>
    </w:p>
    <w:p>
      <w:r>
        <w:br/>
      </w:r>
      <w:r>
        <w:rPr>
          <w:b/>
          <w:bCs/>
        </w:rPr>
        <w:t xml:space="preserve">7. Права и обязанности Исполнителя</w:t>
      </w:r>
      <w:r/>
    </w:p>
    <w:p>
      <w:r>
        <w:rPr>
          <w:b/>
          <w:bCs/>
        </w:rPr>
        <w:br/>
      </w:r>
      <w:r>
        <w:t xml:space="preserve">7.1. Исполнитель имеет право:</w:t>
      </w:r>
      <w:r>
        <w:br/>
        <w:t xml:space="preserve">7.1.1. обрабатывать персональные данные, которые Клиент предоставит Исполнителю во исполнение Договора и/или требований действующего законодательства;</w:t>
      </w:r>
      <w:r>
        <w:br/>
        <w:t xml:space="preserve">7.1.2. привлекать к исполнению Договора третьих лиц, при этом оставаясь ответственным перед Клиентом за действия и/или бездействие таких третьих лиц;</w:t>
      </w:r>
      <w:r>
        <w:br/>
        <w:t xml:space="preserve">7.1.3. вскрыть упаковку для проверки посылки и/или уполномочить третьих</w:t>
      </w:r>
      <w:r>
        <w:t xml:space="preserve"> лиц произвести вскрытие упаковки и проверить посылку, если существуют обоснованные подозрения относительно несоответствия фактического содержимого посылки заявленному содержимому и/или если это необходимо для соблюдения норм действующего законодательства;</w:t>
      </w:r>
      <w:r>
        <w:br/>
      </w:r>
      <w:r>
        <w:t xml:space="preserve">7.1.4. самостоятельно определять маршрут и способы доставки Заказа (воздушный, морской, железнодорожный или иной);</w:t>
      </w:r>
      <w:r>
        <w:br/>
        <w:t xml:space="preserve">7.1.5. отступать от указаний Клиента, когда это необходимо для обеспечения интересов Клиента и/или для соблюдения действующего законодательства;</w:t>
      </w:r>
      <w:r>
        <w:br/>
        <w:t xml:space="preserve">7.1.6. прекратить коммуникацию с Клиентом, если Клиент ведет себя неадекватно и/или грубо (сведя коммуникацию к минимально необходимой для выполнения действующего Заказа);</w:t>
      </w:r>
      <w:r>
        <w:br/>
        <w:t xml:space="preserve">7.1.7. тр</w:t>
      </w:r>
      <w:r>
        <w:t xml:space="preserve">ебовать подтверждения личности Клиента и/или предоставления иной информации, которая может обоснованно требоваться Исполнителю для соблюдения применимого законодательства (включая таможенное законодательство, законодательство о противодействии терроризму).</w:t>
      </w:r>
      <w:r>
        <w:br/>
        <w:t xml:space="preserve">7.2. Исполнитель обязуется:</w:t>
      </w:r>
      <w:r>
        <w:br/>
        <w:t xml:space="preserve">7.2.1. отвечать перед Клиентом за утрату (уничтожение, повреждение) Заказа, если такая утрата (уничтожение, повреждение) произошли по вине Исполнителя;</w:t>
      </w:r>
      <w:r>
        <w:br/>
        <w:t xml:space="preserve">7.2.2. направлять Клиенту агентские отчеты в объеме, предусмотренном настоящим Договором;</w:t>
      </w:r>
      <w:r>
        <w:br/>
        <w:t xml:space="preserve">7.2.3. по взаимному согласию Сторон произвести оказание дополнительных услуг (если применимо).</w:t>
      </w:r>
      <w:r/>
    </w:p>
    <w:p>
      <w:r>
        <w:br/>
      </w:r>
      <w:r>
        <w:rPr>
          <w:b/>
          <w:bCs/>
        </w:rPr>
        <w:t xml:space="preserve">8. Ответственность</w:t>
      </w:r>
      <w:r/>
    </w:p>
    <w:p>
      <w:r>
        <w:rPr>
          <w:b/>
          <w:bCs/>
        </w:rPr>
        <w:br/>
      </w:r>
      <w:r>
        <w:t xml:space="preserve">8.1. Стороны несут ответственность в порядке, предусмотренном настоящим Договором и действующим законодательством.</w:t>
      </w:r>
      <w:r>
        <w:br/>
        <w:t xml:space="preserve">8.2. Как Ваш агент мы организуем заключение соглашений, связанны</w:t>
      </w:r>
      <w:r>
        <w:t xml:space="preserve">х с перевозкой и доставкой Заказа. Мы постараемся обеспечить доставку вашего Заказа в указанное нами время, однако, мы не несем какой-либо ответственности за задержку при доставке Заказа и какие-либо Ваши потери, которые могут быть вызваны такой задержкой.</w:t>
      </w:r>
      <w:r>
        <w:br/>
        <w:t xml:space="preserve">8.3. В случае если по вине Исполнителя произошла утрата (уничтожение, повреждение) Заказа, то Исполнитель будет нести перед Клиентом ответственность в размере причиненного Товару вреда, но не более суммы Заказа.</w:t>
      </w:r>
      <w:r>
        <w:br/>
        <w:t xml:space="preserve">8.4. ИСПОЛНИТЕЛЬ НЕ НЕСЕТ ГАРАНТИЙНЫХ ОБЯЗАТЕЛЬСТВ. СРОКИ ГАРАНТИИ И ЕЕ УСЛОВИЯ УСТАНАВЛИВАЮТСЯ ПРОИЗВОДИТЕЛЕМ И/ИЛИ ПРОДАВЦОМ СООТВЕТСТВУЮЩИХ ТОВАРОВ.</w:t>
      </w:r>
      <w:r>
        <w:br/>
        <w:t xml:space="preserve">8.5. В случае ошибки Продавца Исполнитель не будет нести ответственности за несоответствие Товара заявленным Продавцом характеристикам (модель, цвет, размер и </w:t>
      </w:r>
      <w:r>
        <w:t xml:space="preserve">т.д.</w:t>
      </w:r>
      <w:r>
        <w:t xml:space="preserve">). Проверка Товара является платной услугой Исполнителя. В случае, если Исполнитель выполняет Проверку Товара, то Исполнитель будет нести ответственность за отклонение таких характеристик от параметров, заявленных Продавцом в размере стоимости Заказа.</w:t>
      </w:r>
      <w:r>
        <w:br/>
        <w:t xml:space="preserve">8.6. Клиент самостоятельно несет ответственность за принятие и соблюдение дополнительных правил и условий («Правила»), если такие Правила требуется принять и/или соблюсти для использования Товара и/или получения доступа к его функционалу.</w:t>
      </w:r>
      <w:r>
        <w:br/>
        <w:t xml:space="preserve">8.7. Исполнитель может отказаться от принят</w:t>
      </w:r>
      <w:r>
        <w:t xml:space="preserve">ия Заказа, если исполнение такого Заказа может нарушать применимое законодательство, правила и регуляции (в том числе применимое законодательство третьих стран). Исполнитель имеет право, в том числе, устанавливать ограничения на определенные товары/группы </w:t>
      </w:r>
      <w:r>
        <w:t xml:space="preserve">товаров</w:t>
      </w:r>
      <w:r>
        <w:t xml:space="preserve"> в отношении которых Заказы не принимаются. О таких ограничениях Исполнитель может сообщать Клиенту через чат-бот Исполнителя.</w:t>
      </w:r>
      <w:r>
        <w:br/>
        <w:t xml:space="preserve">8.8. Исполнитель не несет ответственности за ограничения в функционале Товаров на территории Российской Федерации, в том числе, если указанные ограничения в </w:t>
      </w:r>
      <w:r>
        <w:t xml:space="preserve">функционале вызваны действиями Продавца и/или производителя таких Товаров.</w:t>
      </w:r>
      <w:r>
        <w:br/>
        <w:t xml:space="preserve">8.9. Исполнитель не несет ответственности за любые потери Клиента, вызванные потере</w:t>
      </w:r>
      <w:r>
        <w:t xml:space="preserve">й доступа к клиентскому аккаунту в «Telegram». Клиент понимает и соглашается с тем, что все и любые действия (включая отправку сообщений и/или удаление сообщений и чатов), которые были инициированы с аккаунта Клиента, считаются совершенными Клиентом лично.</w:t>
      </w:r>
      <w:r>
        <w:br/>
        <w:t xml:space="preserve">8.10. Исполнитель не </w:t>
      </w:r>
      <w:r>
        <w:t xml:space="preserve">несет ответственности за полную и/или частичную недоступность сервиса «IMERCH» в результате перебоев в работе мессенджера «Telegram», неполадок сетей связи и/или блокировок, и сказывающихся на работоспособности сети «Интернет» и/или мессенджера «Telegram».</w:t>
      </w:r>
      <w:r>
        <w:br/>
        <w:t xml:space="preserve">8.11. Обязательства Исполнителя считаются исполненными в полном объеме с м</w:t>
      </w:r>
      <w:r>
        <w:t xml:space="preserve">омента, когда у Службы Доставки появляется объективная возможность передать Заказ Клиенту. Исполнитель не несет ответственности и не компенсирует потери Клиента вызванные, например, уничтожением Заказа Службой Доставки, если Заказ остался невостребованным.</w:t>
      </w:r>
      <w:r/>
    </w:p>
    <w:p>
      <w:r>
        <w:br/>
      </w:r>
      <w:r>
        <w:rPr>
          <w:b/>
          <w:bCs/>
        </w:rPr>
        <w:t xml:space="preserve">9. Заключительные положения</w:t>
      </w:r>
      <w:r/>
    </w:p>
    <w:p>
      <w:r>
        <w:rPr>
          <w:b/>
          <w:bCs/>
        </w:rPr>
        <w:br/>
      </w:r>
      <w:r>
        <w:t xml:space="preserve">9.1. Мы оставляем за собой право отказать в предоставлении Услуг (до момента их оплаты) без объяснения причин и/или ограничить Ваш доступ к сервису «IMERCH».</w:t>
      </w:r>
      <w:r>
        <w:br/>
        <w:t xml:space="preserve">9.2. </w:t>
      </w:r>
      <w:r>
        <w:t xml:space="preserve">В случае возникновения какого-либо спора («Спор») Стороны примут меры чтобы решить такой Спор в досудебном порядке. В случае, если решение Спора в досудебном порядке не представляется возможным, то Стороны передадут Спор на рассмотрение компетентного суда.</w:t>
      </w:r>
      <w:r>
        <w:br/>
        <w:t xml:space="preserve">9.3. Настоящий Договор регулируется правом Турецкой Республики, за исключением случаев, когда в силу императивных норм законодательства Российской Федерации подлежат применению нормы законодательства Российской Федерации.</w:t>
      </w:r>
      <w:r>
        <w:br/>
        <w:t xml:space="preserve">9.4. В случае, если какая-то часть данного Договора будет признана судом и/или иным компетентным органом недействительной (незаконной и/или неисполнимой), то иные положения настоящего Договора сохранят свою юридическую силу.</w:t>
      </w:r>
      <w:r>
        <w:br/>
        <w:t xml:space="preserve">9.5. Мы не несем какой-либо ответственности за задержку исполнения наших об</w:t>
      </w:r>
      <w:r>
        <w:t xml:space="preserve">язательств в случае возникновения обстоятельств непреодолимой силы. В случае возникновения обстоятельств непреодолимой силы срок исполнения обязательств по настоящему Договору продлевается на срок действия обстоятельств непреодолимой силы и их последствий.</w:t>
      </w:r>
      <w:r>
        <w:br/>
        <w:t xml:space="preserve">9.6. Мы можем вносить в настоящий Договор изменения и/или дополнения. Вы соглашаетесь с тем, что Вы несете ответственность за отслеживание таких изменений и/или дополнений.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42">
    <w:name w:val="Header"/>
    <w:basedOn w:val="62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0"/>
    <w:link w:val="42"/>
    <w:uiPriority w:val="99"/>
  </w:style>
  <w:style w:type="paragraph" w:styleId="44">
    <w:name w:val="Footer"/>
    <w:basedOn w:val="62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0"/>
    <w:link w:val="44"/>
    <w:uiPriority w:val="99"/>
  </w:style>
  <w:style w:type="paragraph" w:styleId="46">
    <w:name w:val="Caption"/>
    <w:basedOn w:val="620"/>
    <w:next w:val="6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bfe4f4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2e6f5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974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196c2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bfe4f4" w:themeFill="accent1" w:themeFillTint="34"/>
    </w:tblPr>
    <w:tblStylePr w:type="band1Horz">
      <w:tcPr>
        <w:shd w:val="clear" w:color="ffffff" w:themeColor="accent1" w:themeTint="75" w:fill="70c4e7" w:themeFill="accent1" w:themeFillTint="75"/>
      </w:tcPr>
    </w:tblStylePr>
    <w:tblStylePr w:type="band1Vert">
      <w:tcPr>
        <w:shd w:val="clear" w:color="ffffff" w:themeColor="accent1" w:themeTint="75" w:fill="70c4e7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ae2d7" w:themeFill="accent2" w:themeFillTint="32"/>
    </w:tblPr>
    <w:tblStylePr w:type="band1Horz">
      <w:tcPr>
        <w:shd w:val="clear" w:color="ffffff" w:themeColor="accent2" w:themeTint="75" w:fill="f4bca1" w:themeFill="accent2" w:themeFillTint="75"/>
      </w:tcPr>
    </w:tblStylePr>
    <w:tblStylePr w:type="band1Vert">
      <w:tcPr>
        <w:shd w:val="clear" w:color="ffffff" w:themeColor="accent2" w:themeTint="75" w:fill="f4bc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bff0c5" w:themeFill="accent3" w:themeFillTint="34"/>
    </w:tblPr>
    <w:tblStylePr w:type="band1Horz">
      <w:tcPr>
        <w:shd w:val="clear" w:color="ffffff" w:themeColor="accent3" w:themeTint="75" w:fill="72dd7e" w:themeFill="accent3" w:themeFillTint="75"/>
      </w:tcPr>
    </w:tblStylePr>
    <w:tblStylePr w:type="band1Vert">
      <w:tcPr>
        <w:shd w:val="clear" w:color="ffffff" w:themeColor="accent3" w:themeTint="75" w:fill="72dd7e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8edfb" w:themeFill="accent4" w:themeFillTint="34"/>
    </w:tblPr>
    <w:tblStylePr w:type="band1Horz">
      <w:tcPr>
        <w:shd w:val="clear" w:color="ffffff" w:themeColor="accent4" w:themeTint="75" w:fill="85d7f6" w:themeFill="accent4" w:themeFillTint="75"/>
      </w:tcPr>
    </w:tblStylePr>
    <w:tblStylePr w:type="band1Vert">
      <w:tcPr>
        <w:shd w:val="clear" w:color="ffffff" w:themeColor="accent4" w:themeTint="75" w:fill="85d7f6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1ceed" w:themeFill="accent5" w:themeFillTint="34"/>
    </w:tblPr>
    <w:tblStylePr w:type="band1Horz">
      <w:tcPr>
        <w:shd w:val="clear" w:color="ffffff" w:themeColor="accent5" w:themeTint="75" w:fill="e08fd8" w:themeFill="accent5" w:themeFillTint="75"/>
      </w:tcPr>
    </w:tblStylePr>
    <w:tblStylePr w:type="band1Vert">
      <w:tcPr>
        <w:shd w:val="clear" w:color="ffffff" w:themeColor="accent5" w:themeTint="75" w:fill="e08fd8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1d0" w:themeFill="accent6" w:themeFillTint="34"/>
    </w:tblPr>
    <w:tblStylePr w:type="band1Horz">
      <w:tcPr>
        <w:shd w:val="clear" w:color="ffffff" w:themeColor="accent6" w:themeTint="75" w:fill="aae194" w:themeFill="accent6" w:themeFillTint="75"/>
      </w:tcPr>
    </w:tblStylePr>
    <w:tblStylePr w:type="band1Vert">
      <w:tcPr>
        <w:shd w:val="clear" w:color="ffffff" w:themeColor="accent6" w:themeTint="75" w:fill="aae194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b7ca4" w:themeColor="accent1" w:themeTint="80" w:themeShade="95"/>
      </w:rPr>
    </w:tblStylePr>
    <w:tblStylePr w:type="firstRow">
      <w:rPr>
        <w:b/>
        <w:color w:val="1b7ca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ca4" w:themeColor="accent1" w:themeTint="80" w:themeShade="95"/>
      </w:rPr>
    </w:tblStylePr>
    <w:tblStylePr w:type="lastRow">
      <w:rPr>
        <w:b/>
        <w:color w:val="1b7ca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0e3f14" w:themeColor="accent3" w:themeTint="FE" w:themeShade="95"/>
      </w:rPr>
    </w:tblStylePr>
    <w:tblStylePr w:type="firstRow">
      <w:rPr>
        <w:b/>
        <w:color w:val="0e3f14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e3f14" w:themeColor="accent3" w:themeTint="FE" w:themeShade="95"/>
      </w:rPr>
    </w:tblStylePr>
    <w:tblStylePr w:type="lastRow">
      <w:rPr>
        <w:b/>
        <w:color w:val="0e3f14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5c1955" w:themeColor="accent5" w:themeShade="95"/>
      </w:rPr>
    </w:tblStylePr>
    <w:tblStylePr w:type="firstRow">
      <w:rPr>
        <w:b/>
        <w:color w:val="5c1955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c1955" w:themeColor="accent5" w:themeShade="95"/>
      </w:rPr>
    </w:tblStylePr>
    <w:tblStylePr w:type="lastRow">
      <w:rPr>
        <w:b/>
        <w:color w:val="5c1955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b7ca4" w:themeColor="accent1" w:themeTint="80" w:themeShade="95"/>
        <w:sz w:val="22"/>
      </w:rPr>
      <w:tcPr>
        <w:shd w:val="clear" w:color="ffffff" w:themeColor="accent1" w:themeTint="34" w:fill="bfe4f4" w:themeFill="accent1" w:themeFillTint="34"/>
      </w:tcPr>
    </w:tblStylePr>
    <w:tblStylePr w:type="band1Vert">
      <w:tcPr>
        <w:shd w:val="clear" w:color="ffffff" w:themeColor="accent1" w:themeTint="34" w:fill="bfe4f4" w:themeFill="accent1" w:themeFillTint="34"/>
      </w:tcPr>
    </w:tblStylePr>
    <w:tblStylePr w:type="band2Horz">
      <w:rPr>
        <w:rFonts w:ascii="Arial" w:hAnsi="Arial"/>
        <w:color w:val="1b7ca4" w:themeColor="accent1" w:themeTint="80" w:themeShade="95"/>
        <w:sz w:val="22"/>
      </w:rPr>
    </w:tblStylePr>
    <w:tblStylePr w:type="firstCol">
      <w:rPr>
        <w:rFonts w:ascii="Arial" w:hAnsi="Arial"/>
        <w:i/>
        <w:color w:val="1b7ca4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ca4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ca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32" w:fill="fae2d7" w:themeFill="accent2" w:themeFillTint="32"/>
      </w:tcPr>
    </w:tblStylePr>
    <w:tblStylePr w:type="band1Vert">
      <w:tcPr>
        <w:shd w:val="clear" w:color="ffffff" w:themeColor="accent2" w:themeTint="32" w:fill="fae2d7" w:themeFill="accent2" w:themeFillTint="32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0e3f14" w:themeColor="accent3" w:themeTint="FE" w:themeShade="95"/>
        <w:sz w:val="22"/>
      </w:rPr>
      <w:tcPr>
        <w:shd w:val="clear" w:color="ffffff" w:themeColor="accent3" w:themeTint="34" w:fill="bff0c5" w:themeFill="accent3" w:themeFillTint="34"/>
      </w:tcPr>
    </w:tblStylePr>
    <w:tblStylePr w:type="band1Vert">
      <w:tcPr>
        <w:shd w:val="clear" w:color="ffffff" w:themeColor="accent3" w:themeTint="34" w:fill="bff0c5" w:themeFill="accent3" w:themeFillTint="34"/>
      </w:tcPr>
    </w:tblStylePr>
    <w:tblStylePr w:type="band2Horz">
      <w:rPr>
        <w:rFonts w:ascii="Arial" w:hAnsi="Arial"/>
        <w:color w:val="0e3f14" w:themeColor="accent3" w:themeTint="FE" w:themeShade="95"/>
        <w:sz w:val="22"/>
      </w:rPr>
    </w:tblStylePr>
    <w:tblStylePr w:type="firstCol">
      <w:rPr>
        <w:rFonts w:ascii="Arial" w:hAnsi="Arial"/>
        <w:i/>
        <w:color w:val="0e3f14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e3f14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e3f14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34" w:fill="c8edfb" w:themeFill="accent4" w:themeFillTint="34"/>
      </w:tcPr>
    </w:tblStylePr>
    <w:tblStylePr w:type="band1Vert">
      <w:tcPr>
        <w:shd w:val="clear" w:color="ffffff" w:themeColor="accent4" w:themeTint="34" w:fill="c8edfb" w:themeFill="accent4" w:themeFillTint="34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5c1955" w:themeColor="accent5" w:themeShade="95"/>
        <w:sz w:val="22"/>
      </w:rPr>
      <w:tcPr>
        <w:shd w:val="clear" w:color="ffffff" w:themeColor="accent5" w:themeTint="34" w:fill="f1ceed" w:themeFill="accent5" w:themeFillTint="34"/>
      </w:tcPr>
    </w:tblStylePr>
    <w:tblStylePr w:type="band1Vert">
      <w:tcPr>
        <w:shd w:val="clear" w:color="ffffff" w:themeColor="accent5" w:themeTint="34" w:fill="f1ceed" w:themeFill="accent5" w:themeFillTint="34"/>
      </w:tcPr>
    </w:tblStylePr>
    <w:tblStylePr w:type="band2Horz">
      <w:rPr>
        <w:rFonts w:ascii="Arial" w:hAnsi="Arial"/>
        <w:color w:val="5c1955" w:themeColor="accent5" w:themeShade="95"/>
        <w:sz w:val="22"/>
      </w:rPr>
    </w:tblStylePr>
    <w:tblStylePr w:type="firstCol">
      <w:rPr>
        <w:rFonts w:ascii="Arial" w:hAnsi="Arial"/>
        <w:i/>
        <w:color w:val="5c1955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c1955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1955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2e611a" w:themeColor="accent6" w:themeShade="95"/>
        <w:sz w:val="22"/>
      </w:rPr>
      <w:tcPr>
        <w:shd w:val="clear" w:color="ffffff" w:themeColor="accent6" w:themeTint="34" w:fill="d9f1d0" w:themeFill="accent6" w:themeFillTint="34"/>
      </w:tcPr>
    </w:tblStylePr>
    <w:tblStylePr w:type="band1Vert">
      <w:tcPr>
        <w:shd w:val="clear" w:color="ffffff" w:themeColor="accent6" w:themeTint="34" w:fill="d9f1d0" w:themeFill="accent6" w:themeFillTint="34"/>
      </w:tcPr>
    </w:tblStylePr>
    <w:tblStylePr w:type="band2Horz">
      <w:rPr>
        <w:rFonts w:ascii="Arial" w:hAnsi="Arial"/>
        <w:color w:val="2e611a" w:themeColor="accent6" w:themeShade="95"/>
        <w:sz w:val="22"/>
      </w:rPr>
    </w:tblStylePr>
    <w:tblStylePr w:type="firstCol">
      <w:rPr>
        <w:rFonts w:ascii="Arial" w:hAnsi="Arial"/>
        <w:i/>
        <w:color w:val="2e611a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11a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11a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47d458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d76cc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90d873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1dff2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56082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9daca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97132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b2edb9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196b24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bde9fa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0f9ed5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eec1e9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a02b93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0eec5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4ea72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blStylePr w:type="band1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1a884" w:themeFill="accent2" w:themeFillTint="97"/>
    </w:tblPr>
    <w:tblStylePr w:type="band1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1a8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1a8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1a8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7d458" w:themeFill="accent3" w:themeFillTint="98"/>
    </w:tblPr>
    <w:tblStylePr w:type="band1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47d458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47d458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47d458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3" w:themeFill="accent4" w:themeFillTint="9A"/>
    </w:tblPr>
    <w:tblStylePr w:type="band1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60cbf3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60cbf3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60cbf3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76ccb" w:themeFill="accent5" w:themeFillTint="9A"/>
    </w:tblPr>
    <w:tblStylePr w:type="band1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d76cc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d76cc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d76cc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90d873" w:themeFill="accent6" w:themeFillTint="98"/>
    </w:tblPr>
    <w:tblStylePr w:type="band1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90d873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90d873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90d873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c394b" w:themeColor="accent1" w:themeShade="95"/>
      </w:rPr>
    </w:tblStylePr>
    <w:tblStylePr w:type="firstRow">
      <w:rPr>
        <w:b/>
        <w:color w:val="0c394b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94b" w:themeColor="accent1" w:themeShade="95"/>
      </w:rPr>
    </w:tblStylePr>
    <w:tblStylePr w:type="lastRow">
      <w:rPr>
        <w:b/>
        <w:color w:val="0c394b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34f16" w:themeColor="accent2" w:themeTint="97" w:themeShade="95"/>
      </w:rPr>
    </w:tblStylePr>
    <w:tblStylePr w:type="firstRow">
      <w:rPr>
        <w:b/>
        <w:color w:val="c34f16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34f16" w:themeColor="accent2" w:themeTint="97" w:themeShade="95"/>
      </w:rPr>
    </w:tblStylePr>
    <w:tblStylePr w:type="lastRow">
      <w:rPr>
        <w:b/>
        <w:color w:val="c34f16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1f842b" w:themeColor="accent3" w:themeTint="98" w:themeShade="95"/>
      </w:rPr>
    </w:tblStylePr>
    <w:tblStylePr w:type="firstRow">
      <w:rPr>
        <w:b/>
        <w:color w:val="1f842b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1f842b" w:themeColor="accent3" w:themeTint="98" w:themeShade="95"/>
      </w:rPr>
    </w:tblStylePr>
    <w:tblStylePr w:type="lastRow">
      <w:rPr>
        <w:b/>
        <w:color w:val="1f842b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0d8ab8" w:themeColor="accent4" w:themeTint="9A" w:themeShade="95"/>
      </w:rPr>
    </w:tblStylePr>
    <w:tblStylePr w:type="firstRow">
      <w:rPr>
        <w:b/>
        <w:color w:val="0d8ab8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8" w:themeColor="accent4" w:themeTint="9A" w:themeShade="95"/>
      </w:rPr>
    </w:tblStylePr>
    <w:tblStylePr w:type="lastRow">
      <w:rPr>
        <w:b/>
        <w:color w:val="0d8ab8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932888" w:themeColor="accent5" w:themeTint="9A" w:themeShade="95"/>
      </w:rPr>
    </w:tblStylePr>
    <w:tblStylePr w:type="firstRow">
      <w:rPr>
        <w:b/>
        <w:color w:val="932888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32888" w:themeColor="accent5" w:themeTint="9A" w:themeShade="95"/>
      </w:rPr>
    </w:tblStylePr>
    <w:tblStylePr w:type="lastRow">
      <w:rPr>
        <w:b/>
        <w:color w:val="932888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4b952a" w:themeColor="accent6" w:themeTint="98" w:themeShade="95"/>
      </w:rPr>
    </w:tblStylePr>
    <w:tblStylePr w:type="firstRow">
      <w:rPr>
        <w:b/>
        <w:color w:val="4b952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b952a" w:themeColor="accent6" w:themeTint="98" w:themeShade="95"/>
      </w:rPr>
    </w:tblStylePr>
    <w:tblStylePr w:type="lastRow">
      <w:rPr>
        <w:b/>
        <w:color w:val="4b952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c394b" w:themeColor="accent1" w:themeShade="95"/>
        <w:sz w:val="22"/>
      </w:rPr>
      <w:tcPr>
        <w:shd w:val="clear" w:color="ffffff" w:themeColor="accent1" w:themeTint="40" w:fill="b1dff2" w:themeFill="accent1" w:themeFillTint="40"/>
      </w:tcPr>
    </w:tblStylePr>
    <w:tblStylePr w:type="band1Vert">
      <w:tcPr>
        <w:shd w:val="clear" w:color="ffffff" w:themeColor="accent1" w:themeTint="40" w:fill="b1dff2" w:themeFill="accent1" w:themeFillTint="40"/>
      </w:tcPr>
    </w:tblStylePr>
    <w:tblStylePr w:type="band2Horz">
      <w:rPr>
        <w:rFonts w:ascii="Arial" w:hAnsi="Arial"/>
        <w:color w:val="0c394b" w:themeColor="accent1" w:themeShade="95"/>
        <w:sz w:val="22"/>
      </w:rPr>
    </w:tblStylePr>
    <w:tblStylePr w:type="firstCol">
      <w:rPr>
        <w:rFonts w:ascii="Arial" w:hAnsi="Arial"/>
        <w:i/>
        <w:color w:val="0c394b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94b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94b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c394b" w:themeColor="accent1" w:themeShade="95"/>
        <w:sz w:val="22"/>
      </w:rPr>
    </w:tblStylePr>
  </w:style>
  <w:style w:type="table" w:styleId="148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34f16" w:themeColor="accent2" w:themeTint="97" w:themeShade="95"/>
        <w:sz w:val="22"/>
      </w:rPr>
      <w:tcPr>
        <w:shd w:val="clear" w:color="ffffff" w:themeColor="accent2" w:themeTint="40" w:fill="f9daca" w:themeFill="accent2" w:themeFillTint="40"/>
      </w:tcPr>
    </w:tblStylePr>
    <w:tblStylePr w:type="band1Vert">
      <w:tcPr>
        <w:shd w:val="clear" w:color="ffffff" w:themeColor="accent2" w:themeTint="40" w:fill="f9daca" w:themeFill="accent2" w:themeFillTint="40"/>
      </w:tcPr>
    </w:tblStylePr>
    <w:tblStylePr w:type="band2Horz">
      <w:rPr>
        <w:rFonts w:ascii="Arial" w:hAnsi="Arial"/>
        <w:color w:val="c34f16" w:themeColor="accent2" w:themeTint="97" w:themeShade="95"/>
        <w:sz w:val="22"/>
      </w:rPr>
    </w:tblStylePr>
    <w:tblStylePr w:type="firstCol">
      <w:rPr>
        <w:rFonts w:ascii="Arial" w:hAnsi="Arial"/>
        <w:i/>
        <w:color w:val="c34f16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34f16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34f16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34f16" w:themeColor="accent2" w:themeTint="97" w:themeShade="95"/>
        <w:sz w:val="22"/>
      </w:rPr>
    </w:tblStylePr>
  </w:style>
  <w:style w:type="table" w:styleId="149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1f842b" w:themeColor="accent3" w:themeTint="98" w:themeShade="95"/>
        <w:sz w:val="22"/>
      </w:rPr>
      <w:tcPr>
        <w:shd w:val="clear" w:color="ffffff" w:themeColor="accent3" w:themeTint="40" w:fill="b2edb9" w:themeFill="accent3" w:themeFillTint="40"/>
      </w:tcPr>
    </w:tblStylePr>
    <w:tblStylePr w:type="band1Vert">
      <w:tcPr>
        <w:shd w:val="clear" w:color="ffffff" w:themeColor="accent3" w:themeTint="40" w:fill="b2edb9" w:themeFill="accent3" w:themeFillTint="40"/>
      </w:tcPr>
    </w:tblStylePr>
    <w:tblStylePr w:type="band2Horz">
      <w:rPr>
        <w:rFonts w:ascii="Arial" w:hAnsi="Arial"/>
        <w:color w:val="1f842b" w:themeColor="accent3" w:themeTint="98" w:themeShade="95"/>
        <w:sz w:val="22"/>
      </w:rPr>
    </w:tblStylePr>
    <w:tblStylePr w:type="firstCol">
      <w:rPr>
        <w:rFonts w:ascii="Arial" w:hAnsi="Arial"/>
        <w:i/>
        <w:color w:val="1f842b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1f842b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1f842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1f842b" w:themeColor="accent3" w:themeTint="98" w:themeShade="95"/>
        <w:sz w:val="22"/>
      </w:rPr>
    </w:tblStylePr>
  </w:style>
  <w:style w:type="table" w:styleId="150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0d8ab8" w:themeColor="accent4" w:themeTint="9A" w:themeShade="95"/>
        <w:sz w:val="22"/>
      </w:rPr>
      <w:tcPr>
        <w:shd w:val="clear" w:color="ffffff" w:themeColor="accent4" w:themeTint="40" w:fill="bde9fa" w:themeFill="accent4" w:themeFillTint="40"/>
      </w:tcPr>
    </w:tblStylePr>
    <w:tblStylePr w:type="band1Vert">
      <w:tcPr>
        <w:shd w:val="clear" w:color="ffffff" w:themeColor="accent4" w:themeTint="40" w:fill="bde9fa" w:themeFill="accent4" w:themeFillTint="40"/>
      </w:tcPr>
    </w:tblStylePr>
    <w:tblStylePr w:type="band2Horz">
      <w:rPr>
        <w:rFonts w:ascii="Arial" w:hAnsi="Arial"/>
        <w:color w:val="0d8ab8" w:themeColor="accent4" w:themeTint="9A" w:themeShade="95"/>
        <w:sz w:val="22"/>
      </w:rPr>
    </w:tblStylePr>
    <w:tblStylePr w:type="firstCol">
      <w:rPr>
        <w:rFonts w:ascii="Arial" w:hAnsi="Arial"/>
        <w:i/>
        <w:color w:val="0d8ab8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8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8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0d8ab8" w:themeColor="accent4" w:themeTint="9A" w:themeShade="95"/>
        <w:sz w:val="22"/>
      </w:rPr>
    </w:tblStylePr>
  </w:style>
  <w:style w:type="table" w:styleId="151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932888" w:themeColor="accent5" w:themeTint="9A" w:themeShade="95"/>
        <w:sz w:val="22"/>
      </w:rPr>
      <w:tcPr>
        <w:shd w:val="clear" w:color="ffffff" w:themeColor="accent5" w:themeTint="40" w:fill="eec1e9" w:themeFill="accent5" w:themeFillTint="40"/>
      </w:tcPr>
    </w:tblStylePr>
    <w:tblStylePr w:type="band1Vert">
      <w:tcPr>
        <w:shd w:val="clear" w:color="ffffff" w:themeColor="accent5" w:themeTint="40" w:fill="eec1e9" w:themeFill="accent5" w:themeFillTint="40"/>
      </w:tcPr>
    </w:tblStylePr>
    <w:tblStylePr w:type="band2Horz">
      <w:rPr>
        <w:rFonts w:ascii="Arial" w:hAnsi="Arial"/>
        <w:color w:val="932888" w:themeColor="accent5" w:themeTint="9A" w:themeShade="95"/>
        <w:sz w:val="22"/>
      </w:rPr>
    </w:tblStylePr>
    <w:tblStylePr w:type="firstCol">
      <w:rPr>
        <w:rFonts w:ascii="Arial" w:hAnsi="Arial"/>
        <w:i/>
        <w:color w:val="932888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32888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32888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32888" w:themeColor="accent5" w:themeTint="9A" w:themeShade="95"/>
        <w:sz w:val="22"/>
      </w:rPr>
    </w:tblStylePr>
  </w:style>
  <w:style w:type="table" w:styleId="152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b952a" w:themeColor="accent6" w:themeTint="98" w:themeShade="95"/>
        <w:sz w:val="22"/>
      </w:rPr>
      <w:tcPr>
        <w:shd w:val="clear" w:color="ffffff" w:themeColor="accent6" w:themeTint="40" w:fill="d0eec5" w:themeFill="accent6" w:themeFillTint="40"/>
      </w:tcPr>
    </w:tblStylePr>
    <w:tblStylePr w:type="band1Vert">
      <w:tcPr>
        <w:shd w:val="clear" w:color="ffffff" w:themeColor="accent6" w:themeTint="40" w:fill="d0eec5" w:themeFill="accent6" w:themeFillTint="40"/>
      </w:tcPr>
    </w:tblStylePr>
    <w:tblStylePr w:type="band2Horz">
      <w:rPr>
        <w:rFonts w:ascii="Arial" w:hAnsi="Arial"/>
        <w:color w:val="4b952a" w:themeColor="accent6" w:themeTint="98" w:themeShade="95"/>
        <w:sz w:val="22"/>
      </w:rPr>
    </w:tblStylePr>
    <w:tblStylePr w:type="firstCol">
      <w:rPr>
        <w:rFonts w:ascii="Arial" w:hAnsi="Arial"/>
        <w:i/>
        <w:color w:val="4b952a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b952a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b952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b952a" w:themeColor="accent6" w:themeTint="98" w:themeShade="95"/>
        <w:sz w:val="22"/>
      </w:rPr>
    </w:tblStylePr>
  </w:style>
  <w:style w:type="table" w:styleId="153">
    <w:name w:val="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55">
    <w:name w:val="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56">
    <w:name w:val="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57">
    <w:name w:val="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58">
    <w:name w:val="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59">
    <w:name w:val="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0">
    <w:name w:val="Bordered &amp; Lined - Accent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9ed7e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9749a" w:themeFill="accent1" w:themeFillTint="EA"/>
      </w:tcPr>
    </w:tblStylePr>
  </w:style>
  <w:style w:type="table" w:styleId="162">
    <w:name w:val="Bordered &amp; Lined - Accent 2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ae2d7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1a884" w:themeFill="accent2" w:themeFillTint="97"/>
      </w:tcPr>
    </w:tblStylePr>
  </w:style>
  <w:style w:type="table" w:styleId="163">
    <w:name w:val="Bordered &amp; Lined - Accent 3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bff0c5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196c23" w:themeFill="accent3" w:themeFillTint="FE"/>
      </w:tcPr>
    </w:tblStylePr>
  </w:style>
  <w:style w:type="table" w:styleId="164">
    <w:name w:val="Bordered &amp; Lined - Accent 4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c8edf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60cbf3" w:themeFill="accent4" w:themeFillTint="9A"/>
      </w:tcPr>
    </w:tblStylePr>
  </w:style>
  <w:style w:type="table" w:styleId="165">
    <w:name w:val="Bordered &amp; Lined - Accent 5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1ceed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a02b93" w:themeFill="accent5"/>
      </w:tcPr>
    </w:tblStylePr>
  </w:style>
  <w:style w:type="table" w:styleId="166">
    <w:name w:val="Bordered &amp; Lined - Accent 6"/>
    <w:basedOn w:val="6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d9f1d0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4ea72e" w:themeFill="accent6"/>
      </w:tcPr>
    </w:tblStylePr>
  </w:style>
  <w:style w:type="table" w:styleId="167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0"/>
    <w:uiPriority w:val="99"/>
    <w:unhideWhenUsed/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0"/>
    <w:uiPriority w:val="99"/>
    <w:semiHidden/>
    <w:unhideWhenUsed/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0"/>
    <w:next w:val="62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0"/>
    <w:next w:val="62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0"/>
    <w:next w:val="62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0"/>
    <w:next w:val="62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0"/>
    <w:next w:val="62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0"/>
    <w:next w:val="62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0"/>
    <w:next w:val="62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0"/>
    <w:next w:val="62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0"/>
    <w:next w:val="620"/>
    <w:uiPriority w:val="99"/>
    <w:unhideWhenUsed/>
    <w:pPr>
      <w:spacing w:after="0" w:afterAutospacing="0"/>
    </w:pPr>
  </w:style>
  <w:style w:type="paragraph" w:styleId="620" w:default="1">
    <w:name w:val="Normal"/>
    <w:qFormat/>
  </w:style>
  <w:style w:type="paragraph" w:styleId="621">
    <w:name w:val="Heading 1"/>
    <w:basedOn w:val="620"/>
    <w:next w:val="620"/>
    <w:link w:val="633"/>
    <w:uiPriority w:val="9"/>
    <w:qFormat/>
    <w:pPr>
      <w:keepLines/>
      <w:keepNext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2">
    <w:name w:val="Heading 2"/>
    <w:basedOn w:val="620"/>
    <w:next w:val="620"/>
    <w:link w:val="634"/>
    <w:uiPriority w:val="9"/>
    <w:semiHidden/>
    <w:unhideWhenUsed/>
    <w:qFormat/>
    <w:pPr>
      <w:keepLines/>
      <w:keepNext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3">
    <w:name w:val="Heading 3"/>
    <w:basedOn w:val="620"/>
    <w:next w:val="620"/>
    <w:link w:val="635"/>
    <w:uiPriority w:val="9"/>
    <w:semiHidden/>
    <w:unhideWhenUsed/>
    <w:qFormat/>
    <w:pPr>
      <w:keepLines/>
      <w:keepNext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4">
    <w:name w:val="Heading 4"/>
    <w:basedOn w:val="620"/>
    <w:next w:val="620"/>
    <w:link w:val="636"/>
    <w:uiPriority w:val="9"/>
    <w:semiHidden/>
    <w:unhideWhenUsed/>
    <w:qFormat/>
    <w:pPr>
      <w:keepLines/>
      <w:keepNext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5">
    <w:name w:val="Heading 5"/>
    <w:basedOn w:val="620"/>
    <w:next w:val="620"/>
    <w:link w:val="637"/>
    <w:uiPriority w:val="9"/>
    <w:semiHidden/>
    <w:unhideWhenUsed/>
    <w:qFormat/>
    <w:pPr>
      <w:keepLines/>
      <w:keepNext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26">
    <w:name w:val="Heading 6"/>
    <w:basedOn w:val="620"/>
    <w:next w:val="620"/>
    <w:link w:val="638"/>
    <w:uiPriority w:val="9"/>
    <w:semiHidden/>
    <w:unhideWhenUsed/>
    <w:qFormat/>
    <w:pPr>
      <w:keepLines/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7">
    <w:name w:val="Heading 7"/>
    <w:basedOn w:val="620"/>
    <w:next w:val="620"/>
    <w:link w:val="639"/>
    <w:uiPriority w:val="9"/>
    <w:semiHidden/>
    <w:unhideWhenUsed/>
    <w:qFormat/>
    <w:pPr>
      <w:keepLines/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628">
    <w:name w:val="Heading 8"/>
    <w:basedOn w:val="620"/>
    <w:next w:val="620"/>
    <w:link w:val="640"/>
    <w:uiPriority w:val="9"/>
    <w:semiHidden/>
    <w:unhideWhenUsed/>
    <w:qFormat/>
    <w:pPr>
      <w:keepLines/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9">
    <w:name w:val="Heading 9"/>
    <w:basedOn w:val="620"/>
    <w:next w:val="620"/>
    <w:link w:val="641"/>
    <w:uiPriority w:val="9"/>
    <w:semiHidden/>
    <w:unhideWhenUsed/>
    <w:qFormat/>
    <w:pPr>
      <w:keepLines/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630" w:default="1">
    <w:name w:val="Default Paragraph Font"/>
    <w:uiPriority w:val="1"/>
    <w:unhideWhenUsed/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character" w:styleId="633" w:customStyle="1">
    <w:name w:val="Heading 1 Char"/>
    <w:basedOn w:val="630"/>
    <w:link w:val="62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4" w:customStyle="1">
    <w:name w:val="Heading 2 Char"/>
    <w:basedOn w:val="630"/>
    <w:link w:val="622"/>
    <w:uiPriority w:val="9"/>
    <w:semiHidden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5" w:customStyle="1">
    <w:name w:val="Heading 3 Char"/>
    <w:basedOn w:val="630"/>
    <w:link w:val="62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6" w:customStyle="1">
    <w:name w:val="Heading 4 Char"/>
    <w:basedOn w:val="630"/>
    <w:link w:val="62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styleId="637" w:customStyle="1">
    <w:name w:val="Heading 5 Char"/>
    <w:basedOn w:val="630"/>
    <w:link w:val="625"/>
    <w:uiPriority w:val="9"/>
    <w:semiHidden/>
    <w:rPr>
      <w:rFonts w:eastAsiaTheme="majorEastAsia" w:cstheme="majorBidi"/>
      <w:color w:val="0f4761" w:themeColor="accent1" w:themeShade="BF"/>
    </w:rPr>
  </w:style>
  <w:style w:type="character" w:styleId="638" w:customStyle="1">
    <w:name w:val="Heading 6 Char"/>
    <w:basedOn w:val="630"/>
    <w:link w:val="62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styleId="639" w:customStyle="1">
    <w:name w:val="Heading 7 Char"/>
    <w:basedOn w:val="630"/>
    <w:link w:val="627"/>
    <w:uiPriority w:val="9"/>
    <w:semiHidden/>
    <w:rPr>
      <w:rFonts w:eastAsiaTheme="majorEastAsia" w:cstheme="majorBidi"/>
      <w:color w:val="595959" w:themeColor="text1" w:themeTint="A6"/>
    </w:rPr>
  </w:style>
  <w:style w:type="character" w:styleId="640" w:customStyle="1">
    <w:name w:val="Heading 8 Char"/>
    <w:basedOn w:val="630"/>
    <w:link w:val="62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styleId="641" w:customStyle="1">
    <w:name w:val="Heading 9 Char"/>
    <w:basedOn w:val="630"/>
    <w:link w:val="629"/>
    <w:uiPriority w:val="9"/>
    <w:semiHidden/>
    <w:rPr>
      <w:rFonts w:eastAsiaTheme="majorEastAsia" w:cstheme="majorBidi"/>
      <w:color w:val="272727" w:themeColor="text1" w:themeTint="D8"/>
    </w:rPr>
  </w:style>
  <w:style w:type="paragraph" w:styleId="642">
    <w:name w:val="Title"/>
    <w:basedOn w:val="620"/>
    <w:next w:val="620"/>
    <w:link w:val="643"/>
    <w:uiPriority w:val="10"/>
    <w:qFormat/>
    <w:pPr>
      <w:contextualSpacing/>
      <w:spacing w:after="8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3" w:customStyle="1">
    <w:name w:val="Title Char"/>
    <w:basedOn w:val="630"/>
    <w:link w:val="642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4">
    <w:name w:val="Subtitle"/>
    <w:basedOn w:val="620"/>
    <w:next w:val="620"/>
    <w:link w:val="64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5" w:customStyle="1">
    <w:name w:val="Subtitle Char"/>
    <w:basedOn w:val="630"/>
    <w:link w:val="64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6">
    <w:name w:val="Quote"/>
    <w:basedOn w:val="620"/>
    <w:next w:val="620"/>
    <w:link w:val="647"/>
    <w:uiPriority w:val="29"/>
    <w:qFormat/>
    <w:pPr>
      <w:jc w:val="center"/>
      <w:spacing w:before="160"/>
    </w:pPr>
    <w:rPr>
      <w:i/>
      <w:iCs/>
      <w:color w:val="404040" w:themeColor="text1" w:themeTint="BF"/>
    </w:rPr>
  </w:style>
  <w:style w:type="character" w:styleId="647" w:customStyle="1">
    <w:name w:val="Quote Char"/>
    <w:basedOn w:val="630"/>
    <w:link w:val="646"/>
    <w:uiPriority w:val="29"/>
    <w:rPr>
      <w:i/>
      <w:iCs/>
      <w:color w:val="404040" w:themeColor="text1" w:themeTint="BF"/>
    </w:rPr>
  </w:style>
  <w:style w:type="paragraph" w:styleId="648">
    <w:name w:val="List Paragraph"/>
    <w:basedOn w:val="620"/>
    <w:uiPriority w:val="34"/>
    <w:qFormat/>
    <w:pPr>
      <w:contextualSpacing/>
      <w:ind w:left="720"/>
    </w:pPr>
  </w:style>
  <w:style w:type="character" w:styleId="649">
    <w:name w:val="Intense Emphasis"/>
    <w:basedOn w:val="630"/>
    <w:uiPriority w:val="21"/>
    <w:qFormat/>
    <w:rPr>
      <w:i/>
      <w:iCs/>
      <w:color w:val="0f4761" w:themeColor="accent1" w:themeShade="BF"/>
    </w:rPr>
  </w:style>
  <w:style w:type="paragraph" w:styleId="650">
    <w:name w:val="Intense Quote"/>
    <w:basedOn w:val="620"/>
    <w:next w:val="620"/>
    <w:link w:val="651"/>
    <w:uiPriority w:val="30"/>
    <w:qFormat/>
    <w:pPr>
      <w:ind w:left="864" w:right="864"/>
      <w:jc w:val="center"/>
      <w:spacing w:before="360" w:after="360"/>
      <w:pBdr>
        <w:top w:val="single" w:color="0F4761" w:themeColor="accent1" w:themeShade="BF" w:sz="4" w:space="10"/>
        <w:bottom w:val="single" w:color="0F4761" w:themeColor="accent1" w:themeShade="BF" w:sz="4" w:space="10"/>
      </w:pBdr>
    </w:pPr>
    <w:rPr>
      <w:i/>
      <w:iCs/>
      <w:color w:val="0f4761" w:themeColor="accent1" w:themeShade="BF"/>
    </w:rPr>
  </w:style>
  <w:style w:type="character" w:styleId="651" w:customStyle="1">
    <w:name w:val="Intense Quote Char"/>
    <w:basedOn w:val="630"/>
    <w:link w:val="650"/>
    <w:uiPriority w:val="30"/>
    <w:rPr>
      <w:i/>
      <w:iCs/>
      <w:color w:val="0f4761" w:themeColor="accent1" w:themeShade="BF"/>
    </w:rPr>
  </w:style>
  <w:style w:type="character" w:styleId="652">
    <w:name w:val="Intense Reference"/>
    <w:basedOn w:val="63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653">
    <w:name w:val="Hyperlink"/>
    <w:basedOn w:val="630"/>
    <w:uiPriority w:val="99"/>
    <w:unhideWhenUsed/>
    <w:rPr>
      <w:color w:val="467886" w:themeColor="hyperlink"/>
      <w:u w:val="single"/>
    </w:rPr>
  </w:style>
  <w:style w:type="character" w:styleId="654">
    <w:name w:val="Unresolved Mention"/>
    <w:basedOn w:val="63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ulkovo-cargo.ru/clients/doc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Zelyukin Maxim</dc:creator>
  <cp:keywords/>
  <dc:description/>
  <cp:lastModifiedBy>Павел Мареев</cp:lastModifiedBy>
  <cp:revision>2</cp:revision>
  <dcterms:created xsi:type="dcterms:W3CDTF">2024-02-10T10:57:00Z</dcterms:created>
  <dcterms:modified xsi:type="dcterms:W3CDTF">2024-02-13T11:30:00Z</dcterms:modified>
</cp:coreProperties>
</file>