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viability_and_implementation_plan_c1fcc5"/>
      <w:r>
        <w:rPr>
          <w:rFonts w:eastAsia="source serif 4" w:cs="source serif 4" w:ascii="source serif 4" w:hAnsi="source serif 4"/>
          <w:b/>
          <w:color w:val="000000"/>
          <w:sz w:val="39"/>
        </w:rPr>
        <w:t xml:space="preserve">Viability and Implementation Plan for an Asynchronous Collaboration Hub with AI Decision Threads</w:t>
      </w:r>
      <w:bookmarkEnd w:id="0"/>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This report evaluates the viability of "The Hub"—a stateful asynchronous collaboration workspace centered on video-based Decision Threads with AI transcription, summarization, and structured action items—then extends the concept with additional product features and a detailed implementation plan.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analysis compares the proposed product against current async video and AI meeting-assistant tools, identifies market gaps, and refines functional and technical specifications for a production-ready SaaS offering.</w:t>
      </w:r>
    </w:p>
    <w:p>
      <w:pPr>
        <w:spacing w:line="360" w:before="315" w:after="105" w:lineRule="auto"/>
        <w:ind w:left="-30"/>
        <w:jc w:val="left"/>
      </w:pPr>
      <w:bookmarkStart w:id="2" w:name="market_landscape"/>
      <w:r>
        <w:rPr>
          <w:rFonts w:eastAsia="source serif 4" w:cs="source serif 4" w:ascii="source serif 4" w:hAnsi="source serif 4"/>
          <w:b/>
          <w:color w:val="000000"/>
          <w:sz w:val="24"/>
        </w:rPr>
        <w:t xml:space="preserve">Market Landscape</w:t>
      </w:r>
      <w:bookmarkEnd w:id="2"/>
    </w:p>
    <w:p>
      <w:pPr>
        <w:spacing w:line="360" w:after="210" w:lineRule="auto"/>
      </w:pPr>
      <w:r>
        <w:rPr>
          <w:rFonts w:eastAsia="source serif 4" w:cs="source serif 4" w:ascii="source serif 4" w:hAnsi="source serif 4"/>
          <w:color w:val="000000"/>
        </w:rPr>
        <w:t xml:space="preserve">Async video tools like Loom, Claap, Tella, Vidyard, Vimeo Record, and others enable screen + camera recording, cloud hosting, sharing via links, and time-stamped comments to reduce meeting load in distributed teams.[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Several tools now bundle AI capabilities such as auto-generated titles, summaries, and action items directly alongside videos, positioning async video not just as communication but as a documentation medium.[</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4][^5]</w:t>
      </w:r>
    </w:p>
    <w:p>
      <w:pPr>
        <w:spacing w:line="360" w:after="210" w:lineRule="auto"/>
      </w:pPr>
      <w:r>
        <w:rPr>
          <w:rFonts w:eastAsia="source serif 4" w:cs="source serif 4" w:ascii="source serif 4" w:hAnsi="source serif 4"/>
          <w:color w:val="000000"/>
        </w:rPr>
        <w:t xml:space="preserve">AI meeting assistants and summarizers like Echo, Tactiq, Krisp, Taskade, and AutoScribe focus on live or recorded meetings, offering automatic transcription, summaries, action items, and structured notes integrated with calendars and conferencing platforms such as Zoom, Google Meet, and Microsoft Teams.[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tools typically attach structured outputs to existing meeting artifacts rather than providing a dedicated system for architectural decision records or threaded technical decisions.</w:t>
      </w:r>
    </w:p>
    <w:p>
      <w:pPr>
        <w:spacing w:line="360" w:before="315" w:after="105" w:lineRule="auto"/>
        <w:ind w:left="-30"/>
        <w:jc w:val="left"/>
      </w:pPr>
      <w:bookmarkStart w:id="3" w:name="problem_solution_fit"/>
      <w:r>
        <w:rPr>
          <w:rFonts w:eastAsia="source serif 4" w:cs="source serif 4" w:ascii="source serif 4" w:hAnsi="source serif 4"/>
          <w:b/>
          <w:color w:val="000000"/>
          <w:sz w:val="24"/>
        </w:rPr>
        <w:t xml:space="preserve">Problem-Solution Fit</w:t>
      </w:r>
      <w:bookmarkEnd w:id="3"/>
    </w:p>
    <w:p>
      <w:pPr>
        <w:spacing w:line="360" w:after="210" w:lineRule="auto"/>
      </w:pPr>
      <w:r>
        <w:rPr>
          <w:rFonts w:eastAsia="source serif 4" w:cs="source serif 4" w:ascii="source serif 4" w:hAnsi="source serif 4"/>
          <w:color w:val="000000"/>
        </w:rPr>
        <w:t xml:space="preserve">Distributed engineering and consulting teams experience meeting overload, chat-scroll fatigue, and difficulty maintaining durable, searchable records of design decisions—issues highlighted in the original product requirements document for The Hub.[^9]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Existing async video platforms focus on one-off messages, sales outreach, or design feedback, while AI meeting assistants focus on transcribing and summarizing real-time calls; neither category fully solves the need for stateful, decision-centric threads with formal approval workflows and ADR-style indexing.</w:t>
      </w:r>
    </w:p>
    <w:p>
      <w:pPr>
        <w:spacing w:line="360" w:after="210" w:lineRule="auto"/>
      </w:pPr>
      <w:r>
        <w:rPr>
          <w:rFonts w:eastAsia="source serif 4" w:cs="source serif 4" w:ascii="source serif 4" w:hAnsi="source serif 4"/>
          <w:color w:val="000000"/>
        </w:rPr>
        <w:t xml:space="preserve">The Hub’s core premise—Decision Threads that bind together short screen/webcam videos, AI-generated summaries and action items, ephemeral interactive prototype previews, and structured sign-off workflows—directly addresses this gap by transforming informal async updates into durable architectural decision records.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emphasis on structured roles (Admin, Contributor, Reviewer, Guest), workspace isolation, and approval state machines aligns with engineering and consulting workflows where traceable decisions are critical for audits, compliance, and long-term maintainability.[^9]</w:t>
      </w:r>
    </w:p>
    <w:p>
      <w:pPr>
        <w:spacing w:line="360" w:before="315" w:after="105" w:lineRule="auto"/>
        <w:ind w:left="-30"/>
        <w:jc w:val="left"/>
      </w:pPr>
      <w:bookmarkStart w:id="4" w:name="competitive_differentiation"/>
      <w:r>
        <w:rPr>
          <w:rFonts w:eastAsia="source serif 4" w:cs="source serif 4" w:ascii="source serif 4" w:hAnsi="source serif 4"/>
          <w:b/>
          <w:color w:val="000000"/>
          <w:sz w:val="24"/>
        </w:rPr>
        <w:t xml:space="preserve">Competitive Differentiation</w:t>
      </w:r>
      <w:bookmarkEnd w:id="4"/>
    </w:p>
    <w:p>
      <w:pPr>
        <w:spacing w:line="360" w:after="210" w:lineRule="auto"/>
      </w:pPr>
      <w:r>
        <w:rPr>
          <w:rFonts w:eastAsia="source serif 4" w:cs="source serif 4" w:ascii="source serif 4" w:hAnsi="source serif 4"/>
          <w:color w:val="000000"/>
        </w:rPr>
        <w:t xml:space="preserve">Loom and similar tools provide timestamped comments, emoji reactions, and AI summaries, but they typically treat each video as an independent artifact rather than part of a stateful decision workflow with multi-step approvals and ADR indexing.[</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2][^10]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Claap comes closer with threads and a video wiki, yet the original Hub design further formalizes decisions through ThreadStatus states (DRAFT, PROCESSING, OPEN, RESOLVED, ARCHIVED) and mandatory approvals recorded as structured entities.[^9]</w:t>
      </w:r>
    </w:p>
    <w:p>
      <w:pPr>
        <w:spacing w:line="360" w:after="210" w:lineRule="auto"/>
      </w:pPr>
      <w:r>
        <w:rPr>
          <w:rFonts w:eastAsia="source serif 4" w:cs="source serif 4" w:ascii="source serif 4" w:hAnsi="source serif 4"/>
          <w:color w:val="000000"/>
        </w:rPr>
        <w:t xml:space="preserve">AI meeting assistants like Echo or Tactiq integrate deeply with calendars and conferencing tools but do not natively support embedding live prototypes via secure tunnels or binding decisions to specific web application states.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Hub’s integration with Tailscale Funnel (or similar tunnels) and sandboxed iFrame previews for live apps is distinctive, especially for engineering boutiques reviewing in-progress systems behind firewalls.[^9]</w:t>
      </w:r>
    </w:p>
    <w:p>
      <w:pPr>
        <w:spacing w:line="360" w:after="210" w:lineRule="auto"/>
      </w:pPr>
      <w:r>
        <w:rPr>
          <w:rFonts w:eastAsia="source serif 4" w:cs="source serif 4" w:ascii="source serif 4" w:hAnsi="source serif 4"/>
          <w:color w:val="000000"/>
        </w:rPr>
        <w:t xml:space="preserve">By combining async video recording, AI summarization, ephemeral prototype access, and ADR-style decision tracking in one product, The Hub occupies a defensible niche between generic video messaging platforms and generic AI note takers.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differentiation supports a premium B2B positioning targeting engineering consultancies, systems integrators, and internal platform teams.</w:t>
      </w:r>
    </w:p>
    <w:p>
      <w:pPr>
        <w:spacing w:line="360" w:before="315" w:after="105" w:lineRule="auto"/>
        <w:ind w:left="-30"/>
        <w:jc w:val="left"/>
      </w:pPr>
      <w:bookmarkStart w:id="5" w:name="technical_architecture_assessment"/>
      <w:r>
        <w:rPr>
          <w:rFonts w:eastAsia="source serif 4" w:cs="source serif 4" w:ascii="source serif 4" w:hAnsi="source serif 4"/>
          <w:b/>
          <w:color w:val="000000"/>
          <w:sz w:val="24"/>
        </w:rPr>
        <w:t xml:space="preserve">Technical Architecture Assessment</w:t>
      </w:r>
      <w:bookmarkEnd w:id="5"/>
    </w:p>
    <w:p>
      <w:pPr>
        <w:spacing w:line="360" w:after="210" w:lineRule="auto"/>
      </w:pPr>
      <w:r>
        <w:rPr>
          <w:rFonts w:eastAsia="source serif 4" w:cs="source serif 4" w:ascii="source serif 4" w:hAnsi="source serif 4"/>
          <w:color w:val="000000"/>
        </w:rPr>
        <w:t xml:space="preserve">The existing architecture uses a Next.js frontend with Tailwind CSS for SSR and tight integration with the browser MediaRecorder/WebRTC APIs, a NestJS backend API with RBAC and OpenAPI, PostgreSQL + Prisma ORM, MinIO for S3-compatible object storage, Redis/BullMQ for background processing, and a separate FastAPI-based AI worker integrating Whisper and frontier LLMs.[^9]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dual-tier design—cloud-hosted high-throughput core paired with flexible AI execution via local inference or external APIs—is consistent with production-grade architectures in recent AI meeting assistant papers and commercial tools.[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 design pattern of pre-signed S3 URLs for direct browser uploads, decoupled queue-based video processing, and worker-driven AI pipelines aligns with best practices for scalable media ingestion and processing in modern SaaS systems.[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Using PostgreSQL with JSONB and Prisma enables both relational integrity and dynamic AI metadata storage, while MinIO offers S3 semantics suitable for on-prem or self-hosted deployments.</w:t>
      </w:r>
    </w:p>
    <w:p>
      <w:pPr>
        <w:spacing w:line="360" w:after="210" w:lineRule="auto"/>
      </w:pPr>
      <w:r>
        <w:rPr>
          <w:rFonts w:eastAsia="source serif 4" w:cs="source serif 4" w:ascii="source serif 4" w:hAnsi="source serif 4"/>
          <w:color w:val="000000"/>
        </w:rPr>
        <w:t xml:space="preserve">The inclusion of secure tunnels (Tailscale Funnel/WireGuard) and sandboxed iFrame embedding with domain validation and iframe sandbox attributes addresses security concerns around exposing internal prototypes to external reviewers.[^9]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architecture can be extended to support additional tunnel providers or API gateways for on-prem clients.</w:t>
      </w:r>
    </w:p>
    <w:p>
      <w:pPr>
        <w:spacing w:line="360" w:before="315" w:after="105" w:lineRule="auto"/>
        <w:ind w:left="-30"/>
        <w:jc w:val="left"/>
      </w:pPr>
      <w:bookmarkStart w:id="6" w:name="product_feature_extensions"/>
      <w:r>
        <w:rPr>
          <w:rFonts w:eastAsia="source serif 4" w:cs="source serif 4" w:ascii="source serif 4" w:hAnsi="source serif 4"/>
          <w:b/>
          <w:color w:val="000000"/>
          <w:sz w:val="24"/>
        </w:rPr>
        <w:t xml:space="preserve">Product Feature Extensions</w:t>
      </w:r>
      <w:bookmarkEnd w:id="6"/>
    </w:p>
    <w:p>
      <w:pPr>
        <w:spacing w:line="360" w:after="210" w:lineRule="auto"/>
      </w:pPr>
      <w:r>
        <w:rPr>
          <w:rFonts w:eastAsia="source serif 4" w:cs="source serif 4" w:ascii="source serif 4" w:hAnsi="source serif 4"/>
          <w:color w:val="000000"/>
        </w:rPr>
        <w:t xml:space="preserve">Building on the existing specification, several additional features can strengthen The Hub’s market viability:</w:t>
      </w:r>
    </w:p>
    <w:p>
      <w:pPr>
        <w:spacing w:line="360" w:before="315" w:after="105" w:lineRule="auto"/>
        <w:ind w:left="-30"/>
        <w:jc w:val="left"/>
      </w:pPr>
      <w:bookmarkStart w:id="7" w:name="bm_1_advanced_search_and_knowledge_graph"/>
      <w:r>
        <w:rPr>
          <w:rFonts w:eastAsia="source serif 4" w:cs="source serif 4" w:ascii="source serif 4" w:hAnsi="source serif 4"/>
          <w:b/>
          <w:color w:val="000000"/>
          <w:sz w:val="24"/>
        </w:rPr>
        <w:t xml:space="preserve">1. Advanced Search and Knowledge Graph</w:t>
      </w:r>
      <w:bookmarkEnd w:id="7"/>
    </w:p>
    <w:p>
      <w:pPr>
        <w:spacing w:line="360" w:after="210" w:lineRule="auto"/>
      </w:pPr>
      <w:r>
        <w:rPr>
          <w:rFonts w:eastAsia="source serif 4" w:cs="source serif 4" w:ascii="source serif 4" w:hAnsi="source serif 4"/>
          <w:color w:val="000000"/>
        </w:rPr>
        <w:t xml:space="preserve">Implement full-text search across transcripts, summaries, comments, and action items using PostgreSQL full-text search or Elasticsearch/OpenSearch for larger deployments.[^4]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 semantic search leveraging embeddings (e.g., via local models or frontier APIs) to allow users to find Decision Threads by conceptual similarity, not just keywords.</w:t>
      </w:r>
    </w:p>
    <w:p>
      <w:pPr>
        <w:spacing w:line="360" w:after="210" w:lineRule="auto"/>
      </w:pPr>
      <w:r>
        <w:rPr>
          <w:rFonts w:eastAsia="source serif 4" w:cs="source serif 4" w:ascii="source serif 4" w:hAnsi="source serif 4"/>
          <w:color w:val="000000"/>
        </w:rPr>
        <w:t xml:space="preserve">Introduce a lightweight knowledge graph linking threads to projects, repositories, Jira issues, and ADRs, enabling cross-system navigation.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Edges could represent "depends on", "reverts", or "supersedes" relationships between decisions.</w:t>
      </w:r>
    </w:p>
    <w:p>
      <w:pPr>
        <w:spacing w:line="360" w:before="315" w:after="105" w:lineRule="auto"/>
        <w:ind w:left="-30"/>
        <w:jc w:val="left"/>
      </w:pPr>
      <w:bookmarkStart w:id="8" w:name="bm_2_integrations_and_automation"/>
      <w:r>
        <w:rPr>
          <w:rFonts w:eastAsia="source serif 4" w:cs="source serif 4" w:ascii="source serif 4" w:hAnsi="source serif 4"/>
          <w:b/>
          <w:color w:val="000000"/>
          <w:sz w:val="24"/>
        </w:rPr>
        <w:t xml:space="preserve">2. Integrations and Automation</w:t>
      </w:r>
      <w:bookmarkEnd w:id="8"/>
    </w:p>
    <w:p>
      <w:pPr>
        <w:spacing w:line="360" w:after="210" w:lineRule="auto"/>
      </w:pPr>
      <w:r>
        <w:rPr>
          <w:rFonts w:eastAsia="source serif 4" w:cs="source serif 4" w:ascii="source serif 4" w:hAnsi="source serif 4"/>
          <w:color w:val="000000"/>
        </w:rPr>
        <w:t xml:space="preserve">Provide first-class integrations with project management tools (Jira, Linear, GitHub Issues), enabling automatic creation of tasks from extracted action items and synchronization of statuses.[^11]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Integrate with calendaring and conferencing tools (Google Calendar, Zoom, Teams) so that synchronous meetings can also be captured as Decision Threads when necessary, preserving a unified record.</w:t>
      </w:r>
    </w:p>
    <w:p>
      <w:pPr>
        <w:spacing w:line="360" w:after="210" w:lineRule="auto"/>
      </w:pPr>
      <w:r>
        <w:rPr>
          <w:rFonts w:eastAsia="source serif 4" w:cs="source serif 4" w:ascii="source serif 4" w:hAnsi="source serif 4"/>
          <w:color w:val="000000"/>
        </w:rPr>
        <w:t xml:space="preserve">Offer webhooks and an automation engine (similar in spirit to Taskade’s automation around meeting notes) so organizations can define workflows triggered when threads reach RESOLVED or when certain tags or risk levels are present.[^11]</w:t>
      </w:r>
    </w:p>
    <w:p>
      <w:pPr>
        <w:spacing w:line="360" w:before="315" w:after="105" w:lineRule="auto"/>
        <w:ind w:left="-30"/>
        <w:jc w:val="left"/>
      </w:pPr>
      <w:bookmarkStart w:id="9" w:name="bm_3_analytics_and_adoption_metrics"/>
      <w:r>
        <w:rPr>
          <w:rFonts w:eastAsia="source serif 4" w:cs="source serif 4" w:ascii="source serif 4" w:hAnsi="source serif 4"/>
          <w:b/>
          <w:color w:val="000000"/>
          <w:sz w:val="24"/>
        </w:rPr>
        <w:t xml:space="preserve">3. Analytics and Adoption Metrics</w:t>
      </w:r>
      <w:bookmarkEnd w:id="9"/>
    </w:p>
    <w:p>
      <w:pPr>
        <w:spacing w:line="360" w:after="210" w:lineRule="auto"/>
      </w:pPr>
      <w:r>
        <w:rPr>
          <w:rFonts w:eastAsia="source serif 4" w:cs="source serif 4" w:ascii="source serif 4" w:hAnsi="source serif 4"/>
          <w:color w:val="000000"/>
        </w:rPr>
        <w:t xml:space="preserve">Add workspace-level dashboards tracking metrics such as number of threads created, average video length, transcription accuracy proxies, approval latency, and watch completion rates; similar metrics are used by async video platforms to measure adoption.[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 per-thread analytics like unique viewers, completion percentage, and comment density to help teams tune their communication patterns.</w:t>
      </w:r>
    </w:p>
    <w:p>
      <w:pPr>
        <w:spacing w:line="360" w:before="315" w:after="105" w:lineRule="auto"/>
        <w:ind w:left="-30"/>
        <w:jc w:val="left"/>
      </w:pPr>
      <w:bookmarkStart w:id="10" w:name="bm_4_compliance_security_and_ente_832018"/>
      <w:r>
        <w:rPr>
          <w:rFonts w:eastAsia="source serif 4" w:cs="source serif 4" w:ascii="source serif 4" w:hAnsi="source serif 4"/>
          <w:b/>
          <w:color w:val="000000"/>
          <w:sz w:val="24"/>
        </w:rPr>
        <w:t xml:space="preserve">4. Compliance, Security, and Enterprise Features</w:t>
      </w:r>
      <w:bookmarkEnd w:id="10"/>
    </w:p>
    <w:p>
      <w:pPr>
        <w:spacing w:line="360" w:after="210" w:lineRule="auto"/>
      </w:pPr>
      <w:r>
        <w:rPr>
          <w:rFonts w:eastAsia="source serif 4" w:cs="source serif 4" w:ascii="source serif 4" w:hAnsi="source serif 4"/>
          <w:color w:val="000000"/>
        </w:rPr>
        <w:t xml:space="preserve">Support role-based data retention policies and legal hold flags to align with enterprise compliance requirements.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 configurable redaction pipelines allowing customers to automatically mask PII or secrets from transcripts using regex and ML-based detectors, similar to practices in AI note-taker tools.[^12]</w:t>
      </w:r>
    </w:p>
    <w:p>
      <w:pPr>
        <w:spacing w:line="360" w:after="210" w:lineRule="auto"/>
      </w:pPr>
      <w:r>
        <w:rPr>
          <w:rFonts w:eastAsia="source serif 4" w:cs="source serif 4" w:ascii="source serif 4" w:hAnsi="source serif 4"/>
          <w:color w:val="000000"/>
        </w:rPr>
        <w:t xml:space="preserve">Add SSO/SAML integration, SCIM user provisioning, and audit logs capturing access, edits, approvals, and exports for compliance-sensitive environments.</w:t>
      </w:r>
    </w:p>
    <w:p>
      <w:pPr>
        <w:spacing w:line="360" w:before="315" w:after="105" w:lineRule="auto"/>
        <w:ind w:left="-30"/>
        <w:jc w:val="left"/>
      </w:pPr>
      <w:bookmarkStart w:id="11" w:name="bm_5_multi_language_and_localizat_1cf75e"/>
      <w:r>
        <w:rPr>
          <w:rFonts w:eastAsia="source serif 4" w:cs="source serif 4" w:ascii="source serif 4" w:hAnsi="source serif 4"/>
          <w:b/>
          <w:color w:val="000000"/>
          <w:sz w:val="24"/>
        </w:rPr>
        <w:t xml:space="preserve">5. Multi-Language and Localization Support</w:t>
      </w:r>
      <w:bookmarkEnd w:id="11"/>
    </w:p>
    <w:p>
      <w:pPr>
        <w:spacing w:line="360" w:after="210" w:lineRule="auto"/>
      </w:pPr>
      <w:r>
        <w:rPr>
          <w:rFonts w:eastAsia="source serif 4" w:cs="source serif 4" w:ascii="source serif 4" w:hAnsi="source serif 4"/>
          <w:color w:val="000000"/>
        </w:rPr>
        <w:t xml:space="preserve">Leverage Whisper’s multi-language transcription capabilities and frontier LLMs’ multilingual summarization to support Decision Threads in many languages; this aligns with AI meeting assistants that advertise support for dozens of languages.[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 localized UI for major language markets and allow per-thread language metadata for search and routing.</w:t>
      </w:r>
    </w:p>
    <w:p>
      <w:pPr>
        <w:spacing w:line="360" w:before="315" w:after="105" w:lineRule="auto"/>
        <w:ind w:left="-30"/>
        <w:jc w:val="left"/>
      </w:pPr>
      <w:bookmarkStart w:id="12" w:name="bm_6_collaboration_enhancements"/>
      <w:r>
        <w:rPr>
          <w:rFonts w:eastAsia="source serif 4" w:cs="source serif 4" w:ascii="source serif 4" w:hAnsi="source serif 4"/>
          <w:b/>
          <w:color w:val="000000"/>
          <w:sz w:val="24"/>
        </w:rPr>
        <w:t xml:space="preserve">6. Collaboration Enhancements</w:t>
      </w:r>
      <w:bookmarkEnd w:id="12"/>
    </w:p>
    <w:p>
      <w:pPr>
        <w:spacing w:line="360" w:after="210" w:lineRule="auto"/>
      </w:pPr>
      <w:r>
        <w:rPr>
          <w:rFonts w:eastAsia="source serif 4" w:cs="source serif 4" w:ascii="source serif 4" w:hAnsi="source serif 4"/>
          <w:color w:val="000000"/>
        </w:rPr>
        <w:t xml:space="preserve">Introduce inline annotation on transcripts and prototype views, enabling reviewers to attach comments directly to sections of text or UI components.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 threaded replies on comments with resolution states (open/resolved), providing granular conversation management beyond simple timestamped notes.</w:t>
      </w:r>
    </w:p>
    <w:p>
      <w:pPr>
        <w:spacing w:line="360" w:after="210" w:lineRule="auto"/>
      </w:pPr>
      <w:r>
        <w:rPr>
          <w:rFonts w:eastAsia="source serif 4" w:cs="source serif 4" w:ascii="source serif 4" w:hAnsi="source serif 4"/>
          <w:color w:val="000000"/>
        </w:rPr>
        <w:t xml:space="preserve">Implement roles such as "Decision Owner" and "Stakeholder" to clarify responsibilities on each thread and track who must sign off.</w:t>
      </w:r>
    </w:p>
    <w:p>
      <w:pPr>
        <w:spacing w:line="360" w:before="315" w:after="105" w:lineRule="auto"/>
        <w:ind w:left="-30"/>
        <w:jc w:val="left"/>
      </w:pPr>
      <w:bookmarkStart w:id="13" w:name="refined_functional_specification"/>
      <w:r>
        <w:rPr>
          <w:rFonts w:eastAsia="source serif 4" w:cs="source serif 4" w:ascii="source serif 4" w:hAnsi="source serif 4"/>
          <w:b/>
          <w:color w:val="000000"/>
          <w:sz w:val="24"/>
        </w:rPr>
        <w:t xml:space="preserve">Refined Functional Specification</w:t>
      </w:r>
      <w:bookmarkEnd w:id="13"/>
    </w:p>
    <w:p>
      <w:pPr>
        <w:spacing w:line="360" w:after="210" w:lineRule="auto"/>
      </w:pPr>
      <w:r>
        <w:rPr>
          <w:rFonts w:eastAsia="source serif 4" w:cs="source serif 4" w:ascii="source serif 4" w:hAnsi="source serif 4"/>
          <w:color w:val="000000"/>
        </w:rPr>
        <w:t xml:space="preserve">The Hub’s existing functional specification already captures Workspaces, Decision Threads, AI Intelligence Suite, and Ephemeral Prototyping.[^9]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following refinements and additions align the product more closely with enterprise expectations and the competitive landscape.</w:t>
      </w:r>
    </w:p>
    <w:p>
      <w:pPr>
        <w:spacing w:line="360" w:before="315" w:after="105" w:lineRule="auto"/>
        <w:ind w:left="-30"/>
        <w:jc w:val="left"/>
      </w:pPr>
      <w:bookmarkStart w:id="14" w:name="core_entities_and_states"/>
      <w:r>
        <w:rPr>
          <w:rFonts w:eastAsia="source serif 4" w:cs="source serif 4" w:ascii="source serif 4" w:hAnsi="source serif 4"/>
          <w:b/>
          <w:color w:val="000000"/>
          <w:sz w:val="24"/>
        </w:rPr>
        <w:t xml:space="preserve">Core Entities and States</w:t>
      </w:r>
      <w:bookmarkEnd w:id="14"/>
    </w:p>
    <w:p>
      <w:pPr>
        <w:numPr>
          <w:ilvl w:val="0"/>
          <w:numId w:val="1"/>
        </w:numPr>
        <w:spacing w:line="360" w:before="105" w:after="105" w:lineRule="auto"/>
      </w:pPr>
      <w:r>
        <w:rPr>
          <w:rFonts w:eastAsia="source serif 4" w:cs="source serif 4" w:ascii="source serif 4" w:hAnsi="source serif 4"/>
          <w:color w:val="000000"/>
          <w:sz w:val="21"/>
        </w:rPr>
        <w:t xml:space="preserve">Organizations: Multi-tenant isolation with configurable policies and custom domains.</w:t>
      </w:r>
    </w:p>
    <w:p>
      <w:pPr>
        <w:numPr>
          <w:ilvl w:val="0"/>
          <w:numId w:val="1"/>
        </w:numPr>
        <w:spacing w:line="360" w:before="105" w:after="105" w:lineRule="auto"/>
      </w:pPr>
      <w:r>
        <w:rPr>
          <w:rFonts w:eastAsia="source serif 4" w:cs="source serif 4" w:ascii="source serif 4" w:hAnsi="source serif 4"/>
          <w:color w:val="000000"/>
          <w:sz w:val="21"/>
        </w:rPr>
        <w:t xml:space="preserve">Workspaces: Logical groupings for projects or teams; add tags for domains (e.g., "Billing", "Infra").</w:t>
      </w:r>
    </w:p>
    <w:p>
      <w:pPr>
        <w:numPr>
          <w:ilvl w:val="0"/>
          <w:numId w:val="1"/>
        </w:numPr>
        <w:spacing w:line="360" w:before="105" w:after="105" w:lineRule="auto"/>
      </w:pPr>
      <w:r>
        <w:rPr>
          <w:rFonts w:eastAsia="source serif 4" w:cs="source serif 4" w:ascii="source serif 4" w:hAnsi="source serif 4"/>
          <w:color w:val="000000"/>
          <w:sz w:val="21"/>
        </w:rPr>
        <w:t xml:space="preserve">Threads: Decision Threads with statuses DRAFT → PROCESSING → OPEN → RESOLVED → ARCHIVED.</w:t>
      </w:r>
    </w:p>
    <w:p>
      <w:pPr>
        <w:numPr>
          <w:ilvl w:val="0"/>
          <w:numId w:val="1"/>
        </w:numPr>
        <w:spacing w:line="360" w:before="105" w:after="105" w:lineRule="auto"/>
      </w:pPr>
      <w:r>
        <w:rPr>
          <w:rFonts w:eastAsia="source serif 4" w:cs="source serif 4" w:ascii="source serif 4" w:hAnsi="source serif 4"/>
          <w:color w:val="000000"/>
          <w:sz w:val="21"/>
        </w:rPr>
        <w:t xml:space="preserve">Approvals: Track required approvers per thread via an approval policy (e.g., at least one architect + one product owner).</w:t>
      </w:r>
    </w:p>
    <w:p>
      <w:pPr>
        <w:numPr>
          <w:ilvl w:val="0"/>
          <w:numId w:val="1"/>
        </w:numPr>
        <w:spacing w:line="360" w:before="105" w:after="105" w:lineRule="auto"/>
      </w:pPr>
      <w:r>
        <w:rPr>
          <w:rFonts w:eastAsia="source serif 4" w:cs="source serif 4" w:ascii="source serif 4" w:hAnsi="source serif 4"/>
          <w:color w:val="000000"/>
          <w:sz w:val="21"/>
        </w:rPr>
        <w:t xml:space="preserve">Actions: Structured action items extracted by AI, enriched with links to external tools.</w:t>
      </w:r>
    </w:p>
    <w:p>
      <w:pPr>
        <w:spacing w:line="360" w:before="315" w:after="105" w:lineRule="auto"/>
        <w:ind w:left="-30"/>
        <w:jc w:val="left"/>
      </w:pPr>
      <w:bookmarkStart w:id="15" w:name="key_functional_flows"/>
      <w:r>
        <w:rPr>
          <w:rFonts w:eastAsia="source serif 4" w:cs="source serif 4" w:ascii="source serif 4" w:hAnsi="source serif 4"/>
          <w:b/>
          <w:color w:val="000000"/>
          <w:sz w:val="24"/>
        </w:rPr>
        <w:t xml:space="preserve">Key Functional Flows</w:t>
      </w:r>
      <w:bookmarkEnd w:id="15"/>
    </w:p>
    <w:p>
      <w:pPr>
        <w:numPr>
          <w:ilvl w:val="0"/>
          <w:numId w:val="2"/>
        </w:numPr>
        <w:spacing w:line="360" w:before="105" w:after="105" w:lineRule="auto"/>
      </w:pPr>
      <w:r>
        <w:rPr>
          <w:rFonts w:eastAsia="source serif 4" w:cs="source serif 4" w:ascii="source serif 4" w:hAnsi="source serif 4"/>
          <w:color w:val="000000"/>
          <w:sz w:val="21"/>
        </w:rPr>
        <w:t xml:space="preserve">Create Decision Thread: Extend the existing flow with fields for risk level, affected systems, and related tickets to aid future search and analysis.[^9]</w:t>
      </w:r>
    </w:p>
    <w:p>
      <w:pPr>
        <w:numPr>
          <w:ilvl w:val="0"/>
          <w:numId w:val="2"/>
        </w:numPr>
        <w:spacing w:line="360" w:before="105" w:after="105" w:lineRule="auto"/>
      </w:pPr>
      <w:r>
        <w:rPr>
          <w:rFonts w:eastAsia="source serif 4" w:cs="source serif 4" w:ascii="source serif 4" w:hAnsi="source serif 4"/>
          <w:color w:val="000000"/>
          <w:sz w:val="21"/>
        </w:rPr>
        <w:t xml:space="preserve">AI Processing: Add configurable pipelines so organizations can choose local vs cloud models, define custom prompts per workspace, and set thresholds for automatic vs manual acceptance of AI outputs.[</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11]</w:t>
      </w:r>
    </w:p>
    <w:p>
      <w:pPr>
        <w:numPr>
          <w:ilvl w:val="0"/>
          <w:numId w:val="2"/>
        </w:numPr>
        <w:spacing w:line="360" w:before="105" w:after="105" w:lineRule="auto"/>
      </w:pPr>
      <w:r>
        <w:rPr>
          <w:rFonts w:eastAsia="source serif 4" w:cs="source serif 4" w:ascii="source serif 4" w:hAnsi="source serif 4"/>
          <w:color w:val="000000"/>
          <w:sz w:val="21"/>
        </w:rPr>
        <w:t xml:space="preserve">Review and Sign-Off: Require reviewers to explicitly confirm that AI-generated summaries reflect the underlying video/transcript before approving, optionally editing summaries for accuracy.</w:t>
      </w:r>
    </w:p>
    <w:p>
      <w:pPr>
        <w:numPr>
          <w:ilvl w:val="0"/>
          <w:numId w:val="2"/>
        </w:numPr>
        <w:spacing w:line="360" w:before="105" w:after="105" w:lineRule="auto"/>
      </w:pPr>
      <w:r>
        <w:rPr>
          <w:rFonts w:eastAsia="source serif 4" w:cs="source serif 4" w:ascii="source serif 4" w:hAnsi="source serif 4"/>
          <w:color w:val="000000"/>
          <w:sz w:val="21"/>
        </w:rPr>
        <w:t xml:space="preserve">Knowledge Capture: When a Thread is RESOLVED, automatically generate a human-readable ADR document (e.g., markdown or Confluence page) using the summary, decisions, and context fields.</w:t>
      </w:r>
    </w:p>
    <w:p>
      <w:pPr>
        <w:spacing w:line="360" w:before="315" w:after="105" w:lineRule="auto"/>
        <w:ind w:left="-30"/>
        <w:jc w:val="left"/>
      </w:pPr>
      <w:bookmarkStart w:id="16" w:name="permissions_and_governance"/>
      <w:r>
        <w:rPr>
          <w:rFonts w:eastAsia="source serif 4" w:cs="source serif 4" w:ascii="source serif 4" w:hAnsi="source serif 4"/>
          <w:b/>
          <w:color w:val="000000"/>
          <w:sz w:val="24"/>
        </w:rPr>
        <w:t xml:space="preserve">Permissions and Governance</w:t>
      </w:r>
      <w:bookmarkEnd w:id="16"/>
    </w:p>
    <w:p>
      <w:pPr>
        <w:numPr>
          <w:ilvl w:val="0"/>
          <w:numId w:val="3"/>
        </w:numPr>
        <w:spacing w:line="360" w:before="105" w:after="105" w:lineRule="auto"/>
      </w:pPr>
      <w:r>
        <w:rPr>
          <w:rFonts w:eastAsia="source serif 4" w:cs="source serif 4" w:ascii="source serif 4" w:hAnsi="source serif 4"/>
          <w:color w:val="000000"/>
          <w:sz w:val="21"/>
        </w:rPr>
        <w:t xml:space="preserve">Define granular permissions: who can create threads, who can edit AI metadata, who can invite external guests.</w:t>
      </w:r>
    </w:p>
    <w:p>
      <w:pPr>
        <w:numPr>
          <w:ilvl w:val="0"/>
          <w:numId w:val="3"/>
        </w:numPr>
        <w:spacing w:line="360" w:before="105" w:after="105" w:lineRule="auto"/>
      </w:pPr>
      <w:r>
        <w:rPr>
          <w:rFonts w:eastAsia="source serif 4" w:cs="source serif 4" w:ascii="source serif 4" w:hAnsi="source serif 4"/>
          <w:color w:val="000000"/>
          <w:sz w:val="21"/>
        </w:rPr>
        <w:t xml:space="preserve">Support private threads restricted to small groups for sensitive discussions.</w:t>
      </w:r>
    </w:p>
    <w:p>
      <w:pPr>
        <w:numPr>
          <w:ilvl w:val="0"/>
          <w:numId w:val="3"/>
        </w:numPr>
        <w:spacing w:line="360" w:before="105" w:after="105" w:lineRule="auto"/>
      </w:pPr>
      <w:r>
        <w:rPr>
          <w:rFonts w:eastAsia="source serif 4" w:cs="source serif 4" w:ascii="source serif 4" w:hAnsi="source serif 4"/>
          <w:color w:val="000000"/>
          <w:sz w:val="21"/>
        </w:rPr>
        <w:t xml:space="preserve">Provide an audit trail for all changes, including AI re-runs and prompt updates.</w:t>
      </w:r>
    </w:p>
    <w:p>
      <w:pPr>
        <w:spacing w:line="360" w:before="315" w:after="105" w:lineRule="auto"/>
        <w:ind w:left="-30"/>
        <w:jc w:val="left"/>
      </w:pPr>
      <w:bookmarkStart w:id="17" w:name="extended_technical_architecture_a_e88835"/>
      <w:r>
        <w:rPr>
          <w:rFonts w:eastAsia="source serif 4" w:cs="source serif 4" w:ascii="source serif 4" w:hAnsi="source serif 4"/>
          <w:b/>
          <w:color w:val="000000"/>
          <w:sz w:val="24"/>
        </w:rPr>
        <w:t xml:space="preserve">Extended Technical Architecture and Implementation Plan</w:t>
      </w:r>
      <w:bookmarkEnd w:id="17"/>
    </w:p>
    <w:p>
      <w:pPr>
        <w:spacing w:line="360" w:before="315" w:after="105" w:lineRule="auto"/>
        <w:ind w:left="-30"/>
        <w:jc w:val="left"/>
      </w:pPr>
      <w:bookmarkStart w:id="18" w:name="backend_and_infrastructure_enhancements"/>
      <w:r>
        <w:rPr>
          <w:rFonts w:eastAsia="source serif 4" w:cs="source serif 4" w:ascii="source serif 4" w:hAnsi="source serif 4"/>
          <w:b/>
          <w:color w:val="000000"/>
          <w:sz w:val="24"/>
        </w:rPr>
        <w:t xml:space="preserve">Backend and Infrastructure Enhancements</w:t>
      </w:r>
      <w:bookmarkEnd w:id="18"/>
    </w:p>
    <w:p>
      <w:pPr>
        <w:spacing w:line="360" w:after="210" w:lineRule="auto"/>
      </w:pPr>
      <w:r>
        <w:rPr>
          <w:rFonts w:eastAsia="source serif 4" w:cs="source serif 4" w:ascii="source serif 4" w:hAnsi="source serif 4"/>
          <w:color w:val="000000"/>
        </w:rPr>
        <w:t xml:space="preserve">Keep NestJS as the core API with modular domains (Auth, Threads, Actions, Integrations, Analytics) and maintain PostgreSQL + Prisma for relational data.[^9]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Introduce a search service (Elasticsearch/OpenSearch) for full-text and semantic search backed by an embeddings store (e.g., pgvector or a dedicated vector DB) to enable semantic retrieval of threads.[^4]</w:t>
      </w:r>
    </w:p>
    <w:p>
      <w:pPr>
        <w:spacing w:line="360" w:after="210" w:lineRule="auto"/>
      </w:pPr>
      <w:r>
        <w:rPr>
          <w:rFonts w:eastAsia="source serif 4" w:cs="source serif 4" w:ascii="source serif 4" w:hAnsi="source serif 4"/>
          <w:color w:val="000000"/>
        </w:rPr>
        <w:t xml:space="preserve">Extend Redis/BullMQ queues with distinct job types: video-processing, transcript-postprocessing (e.g., diarization, redaction), summarization, knowledge-graph-linking, and ADR generation.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allows fine-grained scaling and observability across pipelines.[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color w:val="000000"/>
        </w:rPr>
        <w:t xml:space="preserve">For AI inference, continue using FastAPI workers that expose endpoints for transcription, summarization, and action extraction; design them so that model backends can be swapped (local DeepSeek/Qwen models vs frontier APIs like GPT-4, Claude, or company-provided LLMs).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 configuration entities in the database to manage per-workspace AI settings (model choice, prompt templates, temperature, max tokens).</w:t>
      </w:r>
    </w:p>
    <w:p>
      <w:pPr>
        <w:spacing w:line="360" w:before="315" w:after="105" w:lineRule="auto"/>
        <w:ind w:left="-30"/>
        <w:jc w:val="left"/>
      </w:pPr>
      <w:bookmarkStart w:id="19" w:name="frontend_and_ux_enhancements"/>
      <w:r>
        <w:rPr>
          <w:rFonts w:eastAsia="source serif 4" w:cs="source serif 4" w:ascii="source serif 4" w:hAnsi="source serif 4"/>
          <w:b/>
          <w:color w:val="000000"/>
          <w:sz w:val="24"/>
        </w:rPr>
        <w:t xml:space="preserve">Frontend and UX Enhancements</w:t>
      </w:r>
      <w:bookmarkEnd w:id="19"/>
    </w:p>
    <w:p>
      <w:pPr>
        <w:spacing w:line="360" w:after="210" w:lineRule="auto"/>
      </w:pPr>
      <w:r>
        <w:rPr>
          <w:rFonts w:eastAsia="source serif 4" w:cs="source serif 4" w:ascii="source serif 4" w:hAnsi="source serif 4"/>
          <w:color w:val="000000"/>
        </w:rPr>
        <w:t xml:space="preserve">Maintain Next.js with SSR/ISR and integrate the existing MediaRecorder hooks for screen + mic recording.[^9]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w:t>
      </w:r>
    </w:p>
    <w:p>
      <w:pPr>
        <w:numPr>
          <w:ilvl w:val="0"/>
          <w:numId w:val="4"/>
        </w:numPr>
        <w:spacing w:line="360" w:before="105" w:after="105" w:lineRule="auto"/>
      </w:pPr>
      <w:r>
        <w:rPr>
          <w:rFonts w:eastAsia="source serif 4" w:cs="source serif 4" w:ascii="source serif 4" w:hAnsi="source serif 4"/>
          <w:color w:val="000000"/>
          <w:sz w:val="21"/>
        </w:rPr>
        <w:t xml:space="preserve">A transcript pane with word-level timestamps and clickable segments.</w:t>
      </w:r>
    </w:p>
    <w:p>
      <w:pPr>
        <w:numPr>
          <w:ilvl w:val="0"/>
          <w:numId w:val="4"/>
        </w:numPr>
        <w:spacing w:line="360" w:before="105" w:after="105" w:lineRule="auto"/>
      </w:pPr>
      <w:r>
        <w:rPr>
          <w:rFonts w:eastAsia="source serif 4" w:cs="source serif 4" w:ascii="source serif 4" w:hAnsi="source serif 4"/>
          <w:color w:val="000000"/>
          <w:sz w:val="21"/>
        </w:rPr>
        <w:t xml:space="preserve">A structured summary panel with editable bullets, action items, and key decisions.</w:t>
      </w:r>
    </w:p>
    <w:p>
      <w:pPr>
        <w:numPr>
          <w:ilvl w:val="0"/>
          <w:numId w:val="4"/>
        </w:numPr>
        <w:spacing w:line="360" w:before="105" w:after="105" w:lineRule="auto"/>
      </w:pPr>
      <w:r>
        <w:rPr>
          <w:rFonts w:eastAsia="source serif 4" w:cs="source serif 4" w:ascii="source serif 4" w:hAnsi="source serif 4"/>
          <w:color w:val="000000"/>
          <w:sz w:val="21"/>
        </w:rPr>
        <w:t xml:space="preserve">A prototype preview panel using secure iframe embedding with domain validation and CSP headers.</w:t>
      </w:r>
    </w:p>
    <w:p>
      <w:pPr>
        <w:numPr>
          <w:ilvl w:val="0"/>
          <w:numId w:val="4"/>
        </w:numPr>
        <w:spacing w:line="360" w:before="105" w:after="105" w:lineRule="auto"/>
      </w:pPr>
      <w:r>
        <w:rPr>
          <w:rFonts w:eastAsia="source serif 4" w:cs="source serif 4" w:ascii="source serif 4" w:hAnsi="source serif 4"/>
          <w:color w:val="000000"/>
          <w:sz w:val="21"/>
        </w:rPr>
        <w:t xml:space="preserve">A timeline of events (recorded, processed, reviewed, approved) per thread.</w:t>
      </w:r>
    </w:p>
    <w:p>
      <w:pPr>
        <w:spacing w:line="360" w:after="210" w:lineRule="auto"/>
      </w:pPr>
      <w:r>
        <w:rPr>
          <w:rFonts w:eastAsia="source serif 4" w:cs="source serif 4" w:ascii="source serif 4" w:hAnsi="source serif 4"/>
          <w:color w:val="000000"/>
        </w:rPr>
        <w:t xml:space="preserve">Implement real-time updates via Server-Sent Events or WebSockets for processing status changes, new comments, and approvals to emulate the live feedback feeling found in AI meeting tools while preserving asynchronous workflows.[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11]</w:t>
      </w:r>
    </w:p>
    <w:p>
      <w:pPr>
        <w:spacing w:line="360" w:before="315" w:after="105" w:lineRule="auto"/>
        <w:ind w:left="-30"/>
        <w:jc w:val="left"/>
      </w:pPr>
      <w:bookmarkStart w:id="20" w:name="integration_layer"/>
      <w:r>
        <w:rPr>
          <w:rFonts w:eastAsia="source serif 4" w:cs="source serif 4" w:ascii="source serif 4" w:hAnsi="source serif 4"/>
          <w:b/>
          <w:color w:val="000000"/>
          <w:sz w:val="24"/>
        </w:rPr>
        <w:t xml:space="preserve">Integration Layer</w:t>
      </w:r>
      <w:bookmarkEnd w:id="20"/>
    </w:p>
    <w:p>
      <w:pPr>
        <w:spacing w:line="360" w:after="210" w:lineRule="auto"/>
      </w:pPr>
      <w:r>
        <w:rPr>
          <w:rFonts w:eastAsia="source serif 4" w:cs="source serif 4" w:ascii="source serif 4" w:hAnsi="source serif 4"/>
          <w:color w:val="000000"/>
        </w:rPr>
        <w:t xml:space="preserve">Create a NestJS module for external integrations with connectors for Jira, GitHub, Linear, Slack, and email providers.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Use webhooks and outbound events when threads enter RESOLVED or ARCHIVED states to trigger downstream automations.</w:t>
      </w:r>
    </w:p>
    <w:p>
      <w:pPr>
        <w:spacing w:line="360" w:after="210" w:lineRule="auto"/>
      </w:pPr>
      <w:r>
        <w:rPr>
          <w:rFonts w:eastAsia="source serif 4" w:cs="source serif 4" w:ascii="source serif 4" w:hAnsi="source serif 4"/>
          <w:color w:val="000000"/>
        </w:rPr>
        <w:t xml:space="preserve">For conferencing integrations, provide browser extension or calendar plugin options that can turn meeting recordings into Threads by uploading the recording and linking participants automatically, borrowing patterns from AI note taker tools that connect to Zoom and Meet.[</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12]</w:t>
      </w:r>
    </w:p>
    <w:p>
      <w:pPr>
        <w:spacing w:line="360" w:before="315" w:after="105" w:lineRule="auto"/>
        <w:ind w:left="-30"/>
        <w:jc w:val="left"/>
      </w:pPr>
      <w:bookmarkStart w:id="21" w:name="implementation_milestones"/>
      <w:r>
        <w:rPr>
          <w:rFonts w:eastAsia="source serif 4" w:cs="source serif 4" w:ascii="source serif 4" w:hAnsi="source serif 4"/>
          <w:b/>
          <w:color w:val="000000"/>
          <w:sz w:val="24"/>
        </w:rPr>
        <w:t xml:space="preserve">Implementation Milestones</w:t>
      </w:r>
      <w:bookmarkEnd w:id="21"/>
    </w:p>
    <w:p>
      <w:pPr>
        <w:spacing w:line="360" w:after="210" w:lineRule="auto"/>
      </w:pPr>
      <w:r>
        <w:rPr>
          <w:rFonts w:eastAsia="source serif 4" w:cs="source serif 4" w:ascii="source serif 4" w:hAnsi="source serif 4"/>
          <w:color w:val="000000"/>
        </w:rPr>
        <w:t xml:space="preserve">Building on the existing phased plan (Foundation, Recording &amp; Ingestion, Queue &amp; AI Engine, Approvals &amp; Tunnels), extend with further phases:[^9]</w:t>
      </w:r>
    </w:p>
    <w:p>
      <w:pPr>
        <w:numPr>
          <w:ilvl w:val="0"/>
          <w:numId w:val="5"/>
        </w:numPr>
        <w:spacing w:line="360" w:after="210" w:lineRule="auto"/>
      </w:pPr>
      <w:r>
        <w:rPr>
          <w:rFonts w:eastAsia="source serif 4" w:cs="source serif 4" w:ascii="source serif 4" w:hAnsi="source serif 4"/>
          <w:color w:val="000000"/>
          <w:sz w:val="21"/>
        </w:rPr>
        <w:t xml:space="preserve">Phase 5: Search, Knowledge Graph, and Analytics</w:t>
      </w:r>
    </w:p>
    <w:p>
      <w:pPr>
        <w:numPr>
          <w:ilvl w:val="1"/>
          <w:numId w:val="5"/>
        </w:numPr>
        <w:spacing w:line="360" w:before="105" w:after="105" w:lineRule="auto"/>
      </w:pPr>
      <w:r>
        <w:rPr>
          <w:rFonts w:eastAsia="source serif 4" w:cs="source serif 4" w:ascii="source serif 4" w:hAnsi="source serif 4"/>
          <w:color w:val="000000"/>
          <w:sz w:val="21"/>
        </w:rPr>
        <w:t xml:space="preserve">Implement full-text and semantic search.</w:t>
      </w:r>
    </w:p>
    <w:p>
      <w:pPr>
        <w:numPr>
          <w:ilvl w:val="1"/>
          <w:numId w:val="5"/>
        </w:numPr>
        <w:spacing w:line="360" w:before="105" w:after="105" w:lineRule="auto"/>
      </w:pPr>
      <w:r>
        <w:rPr>
          <w:rFonts w:eastAsia="source serif 4" w:cs="source serif 4" w:ascii="source serif 4" w:hAnsi="source serif 4"/>
          <w:color w:val="000000"/>
          <w:sz w:val="21"/>
        </w:rPr>
        <w:t xml:space="preserve">Build dashboards for adoption and usage metrics.</w:t>
      </w:r>
    </w:p>
    <w:p>
      <w:pPr>
        <w:numPr>
          <w:ilvl w:val="1"/>
          <w:numId w:val="5"/>
        </w:numPr>
        <w:spacing w:line="360" w:before="105" w:after="105" w:lineRule="auto"/>
      </w:pPr>
      <w:r>
        <w:rPr>
          <w:rFonts w:eastAsia="source serif 4" w:cs="source serif 4" w:ascii="source serif 4" w:hAnsi="source serif 4"/>
          <w:color w:val="000000"/>
          <w:sz w:val="21"/>
        </w:rPr>
        <w:t xml:space="preserve">Model relationships between threads, projects, and ADRs.</w:t>
      </w:r>
    </w:p>
    <w:p>
      <w:pPr>
        <w:numPr>
          <w:ilvl w:val="0"/>
          <w:numId w:val="5"/>
        </w:numPr>
        <w:spacing w:line="360" w:after="210" w:lineRule="auto"/>
      </w:pPr>
      <w:r>
        <w:rPr>
          <w:rFonts w:eastAsia="source serif 4" w:cs="source serif 4" w:ascii="source serif 4" w:hAnsi="source serif 4"/>
          <w:color w:val="000000"/>
          <w:sz w:val="21"/>
        </w:rPr>
        <w:t xml:space="preserve">Phase 6: Integrations and Automation</w:t>
      </w:r>
    </w:p>
    <w:p>
      <w:pPr>
        <w:numPr>
          <w:ilvl w:val="1"/>
          <w:numId w:val="5"/>
        </w:numPr>
        <w:spacing w:line="360" w:before="105" w:after="105" w:lineRule="auto"/>
      </w:pPr>
      <w:r>
        <w:rPr>
          <w:rFonts w:eastAsia="source serif 4" w:cs="source serif 4" w:ascii="source serif 4" w:hAnsi="source serif 4"/>
          <w:color w:val="000000"/>
          <w:sz w:val="21"/>
        </w:rPr>
        <w:t xml:space="preserve">Ship Jira/GitHub/Slack connectors.</w:t>
      </w:r>
    </w:p>
    <w:p>
      <w:pPr>
        <w:numPr>
          <w:ilvl w:val="1"/>
          <w:numId w:val="5"/>
        </w:numPr>
        <w:spacing w:line="360" w:before="105" w:after="105" w:lineRule="auto"/>
      </w:pPr>
      <w:r>
        <w:rPr>
          <w:rFonts w:eastAsia="source serif 4" w:cs="source serif 4" w:ascii="source serif 4" w:hAnsi="source serif 4"/>
          <w:color w:val="000000"/>
          <w:sz w:val="21"/>
        </w:rPr>
        <w:t xml:space="preserve">Implement outbound webhooks and a rules engine for automations.</w:t>
      </w:r>
    </w:p>
    <w:p>
      <w:pPr>
        <w:numPr>
          <w:ilvl w:val="0"/>
          <w:numId w:val="5"/>
        </w:numPr>
        <w:spacing w:line="360" w:after="210" w:lineRule="auto"/>
      </w:pPr>
      <w:r>
        <w:rPr>
          <w:rFonts w:eastAsia="source serif 4" w:cs="source serif 4" w:ascii="source serif 4" w:hAnsi="source serif 4"/>
          <w:color w:val="000000"/>
          <w:sz w:val="21"/>
        </w:rPr>
        <w:t xml:space="preserve">Phase 7: Enterprise and Compliance</w:t>
      </w:r>
    </w:p>
    <w:p>
      <w:pPr>
        <w:numPr>
          <w:ilvl w:val="1"/>
          <w:numId w:val="5"/>
        </w:numPr>
        <w:spacing w:line="360" w:before="105" w:after="105" w:lineRule="auto"/>
      </w:pPr>
      <w:r>
        <w:rPr>
          <w:rFonts w:eastAsia="source serif 4" w:cs="source serif 4" w:ascii="source serif 4" w:hAnsi="source serif 4"/>
          <w:color w:val="000000"/>
          <w:sz w:val="21"/>
        </w:rPr>
        <w:t xml:space="preserve">Add SSO/SAML, SCIM, and detailed audit logging.</w:t>
      </w:r>
    </w:p>
    <w:p>
      <w:pPr>
        <w:numPr>
          <w:ilvl w:val="1"/>
          <w:numId w:val="5"/>
        </w:numPr>
        <w:spacing w:line="360" w:before="105" w:after="105" w:lineRule="auto"/>
      </w:pPr>
      <w:r>
        <w:rPr>
          <w:rFonts w:eastAsia="source serif 4" w:cs="source serif 4" w:ascii="source serif 4" w:hAnsi="source serif 4"/>
          <w:color w:val="000000"/>
          <w:sz w:val="21"/>
        </w:rPr>
        <w:t xml:space="preserve">Introduce configurable retention and redaction policies.</w:t>
      </w:r>
    </w:p>
    <w:p>
      <w:pPr>
        <w:numPr>
          <w:ilvl w:val="0"/>
          <w:numId w:val="5"/>
        </w:numPr>
        <w:spacing w:line="360" w:after="210" w:lineRule="auto"/>
      </w:pPr>
      <w:r>
        <w:rPr>
          <w:rFonts w:eastAsia="source serif 4" w:cs="source serif 4" w:ascii="source serif 4" w:hAnsi="source serif 4"/>
          <w:color w:val="000000"/>
          <w:sz w:val="21"/>
        </w:rPr>
        <w:t xml:space="preserve">Phase 8: Localization and Multi-Language</w:t>
      </w:r>
    </w:p>
    <w:p>
      <w:pPr>
        <w:numPr>
          <w:ilvl w:val="1"/>
          <w:numId w:val="5"/>
        </w:numPr>
        <w:spacing w:line="360" w:before="105" w:after="105" w:lineRule="auto"/>
      </w:pPr>
      <w:r>
        <w:rPr>
          <w:rFonts w:eastAsia="source serif 4" w:cs="source serif 4" w:ascii="source serif 4" w:hAnsi="source serif 4"/>
          <w:color w:val="000000"/>
          <w:sz w:val="21"/>
        </w:rPr>
        <w:t xml:space="preserve">Integrate multi-language transcription and summarization.</w:t>
      </w:r>
    </w:p>
    <w:p>
      <w:pPr>
        <w:numPr>
          <w:ilvl w:val="1"/>
          <w:numId w:val="5"/>
        </w:numPr>
        <w:spacing w:line="360" w:before="105" w:after="105" w:lineRule="auto"/>
      </w:pPr>
      <w:r>
        <w:rPr>
          <w:rFonts w:eastAsia="source serif 4" w:cs="source serif 4" w:ascii="source serif 4" w:hAnsi="source serif 4"/>
          <w:color w:val="000000"/>
          <w:sz w:val="21"/>
        </w:rPr>
        <w:t xml:space="preserve">Localize UI and support per-thread language metadata.</w:t>
      </w:r>
    </w:p>
    <w:p>
      <w:pPr>
        <w:spacing w:line="360" w:after="210" w:lineRule="auto"/>
      </w:pPr>
      <w:r>
        <w:rPr>
          <w:rFonts w:eastAsia="source serif 4" w:cs="source serif 4" w:ascii="source serif 4" w:hAnsi="source serif 4"/>
          <w:color w:val="000000"/>
        </w:rPr>
        <w:t xml:space="preserve">Each phase should include clear acceptance criteria, load-testing thresholds, and security reviews, with the ability to defer non-essential features for an initial MVP focused on recording, AI summaries, and approvals.</w:t>
      </w:r>
    </w:p>
    <w:p>
      <w:pPr>
        <w:spacing w:line="360" w:before="315" w:after="105" w:lineRule="auto"/>
        <w:ind w:left="-30"/>
        <w:jc w:val="left"/>
      </w:pPr>
      <w:bookmarkStart w:id="22" w:name="viability_conclusion"/>
      <w:r>
        <w:rPr>
          <w:rFonts w:eastAsia="source serif 4" w:cs="source serif 4" w:ascii="source serif 4" w:hAnsi="source serif 4"/>
          <w:b/>
          <w:color w:val="000000"/>
          <w:sz w:val="24"/>
        </w:rPr>
        <w:t xml:space="preserve">Viability Conclusion</w:t>
      </w:r>
      <w:bookmarkEnd w:id="22"/>
    </w:p>
    <w:p>
      <w:pPr>
        <w:spacing w:line="360" w:after="210" w:lineRule="auto"/>
      </w:pPr>
      <w:r>
        <w:rPr>
          <w:rFonts w:eastAsia="source serif 4" w:cs="source serif 4" w:ascii="source serif 4" w:hAnsi="source serif 4"/>
          <w:color w:val="000000"/>
        </w:rPr>
        <w:t xml:space="preserve">The market already recognizes the value of async video and AI-driven meeting summaries, as evidenced by widespread adoption of tools like Loom, Claap, Echo, Tactiq, Krisp, and Taskade.[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However, there remains a clear gap around structured, decision-centric workflows with durable ADR-style records, integrated prototype previews, and formal approvals targeted specifically at engineering and consulting teams.</w:t>
      </w:r>
    </w:p>
    <w:p>
      <w:pPr>
        <w:spacing w:line="360" w:after="210" w:lineRule="auto"/>
      </w:pPr>
      <w:r>
        <w:rPr>
          <w:rFonts w:eastAsia="source serif 4" w:cs="source serif 4" w:ascii="source serif 4" w:hAnsi="source serif 4"/>
          <w:color w:val="000000"/>
        </w:rPr>
        <w:t xml:space="preserve">The Hub’s architecture and feature set are consistent with modern SaaS and AI system designs and can be evolved into a competitive product by adding robust search, integrations, analytics, enterprise security features, and multi-language support.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Given these factors, the product is technically feasible and commercially viable, particularly for B2B customers who need traceable, asynchronous decision-making and high-fidelity context around architectural changes.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references"/>
      <w:r>
        <w:rPr>
          <w:rFonts w:eastAsia="source serif 4" w:cs="source serif 4" w:ascii="source serif 4" w:hAnsi="source serif 4"/>
          <w:b/>
          <w:color w:val="000000"/>
          <w:sz w:val="24"/>
        </w:rPr>
        <w:t xml:space="preserve">References</w:t>
      </w:r>
      <w:bookmarkEnd w:id="23"/>
    </w:p>
    <w:p>
      <w:pPr>
        <w:numPr>
          <w:ilvl w:val="0"/>
          <w:numId w:val="6"/>
        </w:numPr>
        <w:spacing w:line="360" w:after="210" w:lineRule="auto"/>
      </w:pPr>
      <w:hyperlink r:id="rId5">
        <w:r>
          <w:rPr>
            <w:rFonts w:eastAsia="source sans 3" w:cs="source sans 3" w:ascii="source sans 3" w:hAnsi="source sans 3"/>
            <w:color w:val="#000"/>
            <w:sz w:val="21"/>
            <w:u w:val="single"/>
          </w:rPr>
          <w:t xml:space="preserve">Best Async Video Tools in 2026: 9 Platforms - TopickZ.com</w:t>
        </w:r>
      </w:hyperlink>
      <w:r>
        <w:rPr>
          <w:rFonts w:eastAsia="source serif 4" w:cs="source serif 4" w:ascii="source serif 4" w:hAnsi="source serif 4"/>
          <w:color w:val="000000"/>
          <w:sz w:val="21"/>
        </w:rPr>
        <w:t xml:space="preserve"> - Nine async video tools compared on pricing, G2 review themes, and features for product, sales, and i...</w:t>
      </w:r>
    </w:p>
    <w:p>
      <w:pPr>
        <w:numPr>
          <w:ilvl w:val="0"/>
          <w:numId w:val="6"/>
        </w:numPr>
        <w:spacing w:line="360" w:after="210" w:lineRule="auto"/>
      </w:pPr>
      <w:hyperlink r:id="rId6">
        <w:r>
          <w:rPr>
            <w:rFonts w:eastAsia="source sans 3" w:cs="source sans 3" w:ascii="source sans 3" w:hAnsi="source sans 3"/>
            <w:color w:val="#000"/>
            <w:sz w:val="21"/>
            <w:u w:val="single"/>
          </w:rPr>
          <w:t xml:space="preserve">Async Video Communication: Beyond Meetings 2026 | AbTeem</w:t>
        </w:r>
      </w:hyperlink>
      <w:r>
        <w:rPr>
          <w:rFonts w:eastAsia="source serif 4" w:cs="source serif 4" w:ascii="source serif 4" w:hAnsi="source serif 4"/>
          <w:color w:val="000000"/>
          <w:sz w:val="21"/>
        </w:rPr>
        <w:t xml:space="preserve"> - Async video tools like Loom, Vimeo Record, and Claap are replacing unnecessary meetings.</w:t>
      </w:r>
    </w:p>
    <w:p>
      <w:pPr>
        <w:numPr>
          <w:ilvl w:val="0"/>
          <w:numId w:val="6"/>
        </w:numPr>
        <w:spacing w:line="360" w:after="210" w:lineRule="auto"/>
      </w:pPr>
      <w:hyperlink r:id="rId7">
        <w:r>
          <w:rPr>
            <w:rFonts w:eastAsia="source sans 3" w:cs="source sans 3" w:ascii="source sans 3" w:hAnsi="source sans 3"/>
            <w:color w:val="#000"/>
            <w:sz w:val="21"/>
            <w:u w:val="single"/>
          </w:rPr>
          <w:t xml:space="preserve">Async Video | meetingstack</w:t>
        </w:r>
      </w:hyperlink>
      <w:r>
        <w:rPr>
          <w:rFonts w:eastAsia="source serif 4" w:cs="source serif 4" w:ascii="source serif 4" w:hAnsi="source serif 4"/>
          <w:color w:val="000000"/>
          <w:sz w:val="21"/>
        </w:rPr>
        <w:t xml:space="preserve"> - Screen recording, video messaging, and async communication tools.</w:t>
      </w:r>
    </w:p>
    <w:p>
      <w:pPr>
        <w:numPr>
          <w:ilvl w:val="0"/>
          <w:numId w:val="6"/>
        </w:numPr>
        <w:spacing w:line="360" w:after="210" w:lineRule="auto"/>
      </w:pPr>
      <w:hyperlink r:id="rId8">
        <w:r>
          <w:rPr>
            <w:rFonts w:eastAsia="source sans 3" w:cs="source sans 3" w:ascii="source sans 3" w:hAnsi="source sans 3"/>
            <w:color w:val="#000"/>
            <w:sz w:val="21"/>
            <w:u w:val="single"/>
          </w:rPr>
          <w:t xml:space="preserve">Best Async Collaboration Tools for Remote Teams (2026) - Fastio</w:t>
        </w:r>
      </w:hyperlink>
      <w:r>
        <w:rPr>
          <w:rFonts w:eastAsia="source serif 4" w:cs="source serif 4" w:ascii="source serif 4" w:hAnsi="source serif 4"/>
          <w:color w:val="000000"/>
          <w:sz w:val="21"/>
        </w:rPr>
        <w:t xml:space="preserve"> - Compare async collaboration tools for remote teams across time zones. Covers messaging, file sharing...</w:t>
      </w:r>
    </w:p>
    <w:p>
      <w:pPr>
        <w:numPr>
          <w:ilvl w:val="0"/>
          <w:numId w:val="6"/>
        </w:numPr>
        <w:spacing w:line="360" w:after="210" w:lineRule="auto"/>
      </w:pPr>
      <w:hyperlink r:id="rId9">
        <w:r>
          <w:rPr>
            <w:rFonts w:eastAsia="source sans 3" w:cs="source sans 3" w:ascii="source sans 3" w:hAnsi="source sans 3"/>
            <w:color w:val="#000"/>
            <w:sz w:val="21"/>
            <w:u w:val="single"/>
          </w:rPr>
          <w:t xml:space="preserve">10 Best Video Communication Software for 2026: My Picks</w:t>
        </w:r>
      </w:hyperlink>
      <w:r>
        <w:rPr>
          <w:rFonts w:eastAsia="source serif 4" w:cs="source serif 4" w:ascii="source serif 4" w:hAnsi="source serif 4"/>
          <w:color w:val="000000"/>
          <w:sz w:val="21"/>
        </w:rPr>
        <w:t xml:space="preserve"> - I evaluated 20+ best video communication software tools and picked the top 10 for 2026. See which on...</w:t>
      </w:r>
    </w:p>
    <w:p>
      <w:pPr>
        <w:numPr>
          <w:ilvl w:val="0"/>
          <w:numId w:val="6"/>
        </w:numPr>
        <w:spacing w:line="360" w:after="210" w:lineRule="auto"/>
      </w:pPr>
      <w:hyperlink r:id="rId10">
        <w:r>
          <w:rPr>
            <w:rFonts w:eastAsia="source sans 3" w:cs="source sans 3" w:ascii="source sans 3" w:hAnsi="source sans 3"/>
            <w:color w:val="#000"/>
            <w:sz w:val="21"/>
            <w:u w:val="single"/>
          </w:rPr>
          <w:t xml:space="preserve">AI-Powered Meeting Assistant for Transcription, ...</w:t>
        </w:r>
      </w:hyperlink>
    </w:p>
    <w:p>
      <w:pPr>
        <w:numPr>
          <w:ilvl w:val="0"/>
          <w:numId w:val="6"/>
        </w:numPr>
        <w:spacing w:line="360" w:after="210" w:lineRule="auto"/>
      </w:pPr>
      <w:hyperlink r:id="rId11">
        <w:r>
          <w:rPr>
            <w:rFonts w:eastAsia="source sans 3" w:cs="source sans 3" w:ascii="source sans 3" w:hAnsi="source sans 3"/>
            <w:color w:val="#000"/>
            <w:sz w:val="21"/>
            <w:u w:val="single"/>
          </w:rPr>
          <w:t xml:space="preserve">Echo | AI Powered Meeting Assistant and Summaries</w:t>
        </w:r>
      </w:hyperlink>
      <w:r>
        <w:rPr>
          <w:rFonts w:eastAsia="source serif 4" w:cs="source serif 4" w:ascii="source serif 4" w:hAnsi="source serif 4"/>
          <w:color w:val="000000"/>
          <w:sz w:val="21"/>
        </w:rPr>
        <w:t xml:space="preserve"> - Capture and summarise every meeting automatically. Echo takes detailed notes on Zoom, Google Meet, M...</w:t>
      </w:r>
    </w:p>
    <w:p>
      <w:pPr>
        <w:numPr>
          <w:ilvl w:val="0"/>
          <w:numId w:val="6"/>
        </w:numPr>
        <w:spacing w:line="360" w:after="210" w:lineRule="auto"/>
      </w:pPr>
      <w:hyperlink r:id="rId12">
        <w:r>
          <w:rPr>
            <w:rFonts w:eastAsia="source sans 3" w:cs="source sans 3" w:ascii="source sans 3" w:hAnsi="source sans 3"/>
            <w:color w:val="#000"/>
            <w:sz w:val="21"/>
            <w:u w:val="single"/>
          </w:rPr>
          <w:t xml:space="preserve">Tactiq: AI Note Taker for Google Meet, Zoom &amp; Teams</w:t>
        </w:r>
      </w:hyperlink>
      <w:r>
        <w:rPr>
          <w:rFonts w:eastAsia="source serif 4" w:cs="source serif 4" w:ascii="source serif 4" w:hAnsi="source serif 4"/>
          <w:color w:val="000000"/>
          <w:sz w:val="21"/>
        </w:rPr>
        <w:t xml:space="preserve"> - Transcribed live. Summarised instantly. Tactiq captures every meeting in real time, so you walk out ...</w:t>
      </w:r>
    </w:p>
    <w:p>
      <w:pPr>
        <w:numPr>
          <w:ilvl w:val="0"/>
          <w:numId w:val="6"/>
        </w:numPr>
        <w:spacing w:line="360" w:after="210" w:lineRule="auto"/>
      </w:pPr>
      <w:hyperlink r:id="rId13">
        <w:r>
          <w:rPr>
            <w:rFonts w:eastAsia="source sans 3" w:cs="source sans 3" w:ascii="source sans 3" w:hAnsi="source sans 3"/>
            <w:color w:val="#000"/>
            <w:sz w:val="21"/>
            <w:u w:val="single"/>
          </w:rPr>
          <w:t xml:space="preserve">now-create-a-document-with-all-the-information-we.docx</w:t>
        </w:r>
      </w:hyperlink>
      <w:r>
        <w:rPr>
          <w:rFonts w:eastAsia="source serif 4" w:cs="source serif 4" w:ascii="source serif 4" w:hAnsi="source serif 4"/>
          <w:color w:val="000000"/>
          <w:sz w:val="21"/>
        </w:rPr>
        <w:t xml:space="preserve"> - # Product Requirements &amp; Technical Architecture Document</w:t>
      </w:r>
    </w:p>
    <w:p>
      <w:pPr>
        <w:spacing w:line="360" w:after="210" w:lineRule="auto"/>
      </w:pPr>
      <w:r>
        <w:rPr>
          <w:rFonts w:eastAsia="source serif 4" w:cs="source serif 4" w:ascii="source serif 4" w:hAnsi="source serif 4"/>
          <w:b/>
          <w:color w:val="000000"/>
        </w:rPr>
        <w:t xml:space="preserve">Product Name:</w:t>
      </w:r>
      <w:r>
        <w:rPr>
          <w:rFonts w:eastAsia="source serif 4" w:cs="source serif 4" w:ascii="source serif 4" w:hAnsi="source serif 4"/>
          <w:color w:val="000000"/>
        </w:rPr>
        <w:t xml:space="preserve"> Asynchronous Collaborati...</w:t>
      </w:r>
    </w:p>
    <w:p>
      <w:pPr>
        <w:numPr>
          <w:ilvl w:val="0"/>
          <w:numId w:val="7"/>
        </w:numPr>
        <w:spacing w:line="360" w:after="210" w:lineRule="auto"/>
      </w:pPr>
      <w:hyperlink r:id="rId14">
        <w:r>
          <w:rPr>
            <w:rFonts w:eastAsia="source sans 3" w:cs="source sans 3" w:ascii="source sans 3" w:hAnsi="source sans 3"/>
            <w:color w:val="#000"/>
            <w:sz w:val="21"/>
            <w:u w:val="single"/>
          </w:rPr>
          <w:t xml:space="preserve">The Async Toolkit — Apps for asynchronous collaboration</w:t>
        </w:r>
      </w:hyperlink>
      <w:r>
        <w:rPr>
          <w:rFonts w:eastAsia="source serif 4" w:cs="source serif 4" w:ascii="source serif 4" w:hAnsi="source serif 4"/>
          <w:color w:val="000000"/>
          <w:sz w:val="21"/>
        </w:rPr>
        <w:t xml:space="preserve"> - When it comes to asynchronous collaboration, team culture is more important than tools. But the righ...</w:t>
      </w:r>
    </w:p>
    <w:p>
      <w:pPr>
        <w:numPr>
          <w:ilvl w:val="0"/>
          <w:numId w:val="7"/>
        </w:numPr>
        <w:spacing w:line="360" w:after="210" w:lineRule="auto"/>
      </w:pPr>
      <w:hyperlink r:id="rId15">
        <w:r>
          <w:rPr>
            <w:rFonts w:eastAsia="source sans 3" w:cs="source sans 3" w:ascii="source sans 3" w:hAnsi="source sans 3"/>
            <w:color w:val="#000"/>
            <w:sz w:val="21"/>
            <w:u w:val="single"/>
          </w:rPr>
          <w:t xml:space="preserve">13 Best AI Meeting Summarizer Tools in 2026 (Tested ...</w:t>
        </w:r>
      </w:hyperlink>
      <w:r>
        <w:rPr>
          <w:rFonts w:eastAsia="source serif 4" w:cs="source serif 4" w:ascii="source serif 4" w:hAnsi="source serif 4"/>
          <w:color w:val="000000"/>
          <w:sz w:val="21"/>
        </w:rPr>
        <w:t xml:space="preserve"> - 13 best AI meeting summarizer tools of 2026 ranked and tested for teams. Taskade turns notes into ta...</w:t>
      </w:r>
    </w:p>
    <w:p>
      <w:pPr>
        <w:numPr>
          <w:ilvl w:val="0"/>
          <w:numId w:val="7"/>
        </w:numPr>
        <w:spacing w:line="360" w:after="210" w:lineRule="auto"/>
      </w:pPr>
      <w:hyperlink r:id="rId16">
        <w:r>
          <w:rPr>
            <w:rFonts w:eastAsia="source sans 3" w:cs="source sans 3" w:ascii="source sans 3" w:hAnsi="source sans 3"/>
            <w:color w:val="#000"/>
            <w:sz w:val="21"/>
            <w:u w:val="single"/>
          </w:rPr>
          <w:t xml:space="preserve">AI Note Taker | Meeting Notes, Transcripts &amp; Summaries - Krisp</w:t>
        </w:r>
      </w:hyperlink>
      <w:r>
        <w:rPr>
          <w:rFonts w:eastAsia="source serif 4" w:cs="source serif 4" w:ascii="source serif 4" w:hAnsi="source serif 4"/>
          <w:color w:val="000000"/>
          <w:sz w:val="21"/>
        </w:rPr>
        <w:t xml:space="preserve"> - Take the stress out of meeting note taking. Krisp’s AI Note Taker captures every detail—online or in...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0"/>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opickz.com/list/best-async-video/" TargetMode="External"/><Relationship Id="rId6" Type="http://schemas.openxmlformats.org/officeDocument/2006/relationships/hyperlink" Target="https://abteem.com/blog/async-video-communication-tools.html" TargetMode="External"/><Relationship Id="rId7" Type="http://schemas.openxmlformats.org/officeDocument/2006/relationships/hyperlink" Target="https://meetingstack.io/categories/async-video/" TargetMode="External"/><Relationship Id="rId8" Type="http://schemas.openxmlformats.org/officeDocument/2006/relationships/hyperlink" Target="https://fast.io/resources/async-collaboration-tools/" TargetMode="External"/><Relationship Id="rId9" Type="http://schemas.openxmlformats.org/officeDocument/2006/relationships/hyperlink" Target="https://learn.g2.com/best-video-communication-software" TargetMode="External"/><Relationship Id="rId10" Type="http://schemas.openxmlformats.org/officeDocument/2006/relationships/hyperlink" Target="https://www.irjet.net/archives/V13/i4/IRJET-V13I04104.pdf" TargetMode="External"/><Relationship Id="rId11" Type="http://schemas.openxmlformats.org/officeDocument/2006/relationships/hyperlink" Target="https://meetecho.app/" TargetMode="External"/><Relationship Id="rId12" Type="http://schemas.openxmlformats.org/officeDocument/2006/relationships/hyperlink" Target="https://tactiq.io/" TargetMode="External"/><Relationship Id="rId13" Type="http://schemas.openxmlformats.org/officeDocument/2006/relationships/hyperlink" Target="https://ppl-ai-file-upload.s3.amazonaws.com/web/direct-files/attachments/112574384/6883a006-1438-4dc4-b8a5-9d65b77467d5/now-create-a-document-with-all-the-information-we.docx?AWSAccessKeyId=ASIA2F3EMEYEWOZXWBKI&amp;Signature=VP3ypxGAkXp7RClZw5PqTIxvLEo%3D&amp;x-amz-security-token=IQoJb3JpZ2luX2VjEN%2F%2F%2F%2F%2F%2F%2F%2F%2F%2F%2FwEaCXVzLWVhc3QtMSJIMEYCIQC%2BiFIFf9Kn7Fp6vF6kojV7GHKP7CFsbwqKYs9w3B%2BhvAIhAPeobd%2FWFMYzU8tteVMVTiAAGepaQ%2F7bYVE1A9XRj6%2FDKvwECKj%2F%2F%2F%2F%2F%2F%2F%2F%2F%2FwEQARoMNjk5NzUzMzA5NzA1IgyhbXlVkFV935WXwH0q0ASrzGhbJpDXhunTa%2F6qZXXfcRFzLthBDJbqTJInvh9X9Cro8lI618JreGu0oStDp0ZskyjYV%2FaVdf8BelTm3RB%2BQ6RxLw8dh6sey3GlLmxLVT1U9mTY4CnYeQDVGfpqVbXaOON22njAekM4Ea8cfvWP7F8voLK%2BAPXmyXf4BLhmPpqrXeQIZ5yoPkHyZH%2FiJ2j1gUSYjp3fGLLrTCmtpdbVOfOqdjhpoIpDLqkNWrfgJXX5%2FLgDEY0OrkjdcfwBmlLX10fy1Jv78IdIS1ELsiNny1Hgla1d4iHM%2BigP1NomA2KZHpIJ%2BvdmLVsJwLvfrUBs8o%2Fz7leXFE5ljfCL%2FjYTFiLYM3wcEU6zf6XXN%2BavzQttSGWxf5r86CMF%2BK5CPvhKejGl2WDPvAN%2FGsaj9gBVrA4lwtZUMZdzTy1E07b3dUcu6DjyA09rVxllpFnR5%2Fia5NbwNYZxwBOUbAdsB4Mqdqi9PFgo09U2dJfoIELHJEki8GTZOmZBZI%2FGy8o6pYIJT3W7hattjez22MJwIWwpIruHKxS5YQ76KsRN%2BshIgfSwjUWwDNAAztfhDZeWUYyPm%2FKWODBPMVe%2B7F2O%2FI4%2B%2BOplqqQY%2F%2BsG7emfB7PIwYwkBJ32SOHX6J7kzBvEmisd0oS7NLqrLI52t470FLYSYhJLR2H5bsWB5jaDid%2F6Upee6ZDT2Bl6hnvcoWjHxg8tr1OOp0aftjf2Hej4SVKXHq9rKmQbw5nACqgw%2F4BT0euBumSHan4F4WeoOM0CnU2KTDWSLksiV4eU8pKZHMLCMIvu2dQGOpcB4%2FyLDZl%2Fqkyn%2B9tStXkxnUHOkJA6Df0KpmoFbn0RI0ScazF3KCkDHzdPKA%2F2V%2BVuoOEsyUG2OUdIiUxXlnik7jS3BpPebFS8SsiKXRkQtI71qcv2ledXyB8BQ3T%2BCQKf%2BahmwAC%2BcAwNMaGNUQ3WlV8Sc6ttEi6bPSzXWQHXz5wFHsgmxGz4spLb4E1NJCZp19YmTd%2Bwgg%3D%3D&amp;Expires=1788249310" TargetMode="External"/><Relationship Id="rId14" Type="http://schemas.openxmlformats.org/officeDocument/2006/relationships/hyperlink" Target="https://async.twist.com/async-collaboration-toolkit/" TargetMode="External"/><Relationship Id="rId15" Type="http://schemas.openxmlformats.org/officeDocument/2006/relationships/hyperlink" Target="https://www.taskade.com/blog/ai-meeting-summarizers" TargetMode="External"/><Relationship Id="rId16" Type="http://schemas.openxmlformats.org/officeDocument/2006/relationships/hyperlink" Target="https://krisp.ai/ai-note-take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2026-09-01T06:56:15.411Z</dcterms:created>
  <dcterms:modified xsi:type="dcterms:W3CDTF">2026-09-01T06:56:15.411Z</dcterms:modified>
</cp:coreProperties>
</file>