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ФГБОУ ВО ВолгГМУ Минздрава России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color w:val="5B6D70"/>
          <w:sz w:val="20"/>
          <w:szCs w:val="20"/>
        </w:rPr>
        <w:t xml:space="preserve">Проект «Аппаратно-программный комплекс для стандартизированной диагностики и мониторинга лечения поражений слизистой оболочки рта»</w:t>
      </w:r>
    </w:p>
    <w:p>
      <w:pPr>
        <w:pStyle w:val="Heading1"/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0D3B3C"/>
          <w:sz w:val="30"/>
          <w:szCs w:val="30"/>
        </w:rPr>
        <w:t xml:space="preserve">Регуляторная квалификация изделия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color w:val="5B6D70"/>
          <w:sz w:val="22"/>
          <w:szCs w:val="22"/>
        </w:rPr>
        <w:t xml:space="preserve">Заполняется до заказа испытаний. Определяет весь дальнейший путь регистрации.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Наименование изделия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Калибровочная насадка-ограничитель для интраоральной камеры</w:t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Версия изделия / № образца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Номер документа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Дата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Подготовил (специалист по регистрации)</w:t>
            </w:r>
          </w:p>
        </w:tc>
        <w:tc>
          <w:tcPr>
            <w:tcW w:type="dxa" w:w="6425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1. Назначение и область применения</w:t>
      </w:r>
    </w:p>
    <w:p>
      <w:pPr>
        <w:spacing w:after="100" w:before="0" w:line="300"/>
      </w:pPr>
      <w:r>
        <w:rPr>
          <w:rFonts w:ascii="Times New Roman" w:cs="Times New Roman" w:eastAsia="Times New Roman" w:hAnsi="Times New Roman"/>
          <w:i/>
          <w:iCs/>
          <w:color w:val="5B6D70"/>
          <w:sz w:val="21"/>
          <w:szCs w:val="21"/>
        </w:rPr>
        <w:t xml:space="preserve">Формулировка назначения должна совпадать во всех документах: ТУ, инструкции, досье.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6626"/>
      </w:tblGrid>
      <w:t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Назначение</w:t>
            </w:r>
          </w:p>
        </w:tc>
        <w:tc>
          <w:tcPr>
            <w:tcW w:type="dxa" w:w="662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Область применения</w:t>
            </w:r>
          </w:p>
        </w:tc>
        <w:tc>
          <w:tcPr>
            <w:tcW w:type="dxa" w:w="662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Пользователь</w:t>
            </w:r>
          </w:p>
        </w:tc>
        <w:tc>
          <w:tcPr>
            <w:tcW w:type="dxa" w:w="662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Врач-стоматолог, специалист кабинета раннего выявления</w:t>
            </w:r>
          </w:p>
        </w:tc>
      </w:tr>
      <w:t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Пациенты</w:t>
            </w:r>
          </w:p>
        </w:tc>
        <w:tc>
          <w:tcPr>
            <w:tcW w:type="dxa" w:w="662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Принцип действия</w:t>
            </w:r>
          </w:p>
        </w:tc>
        <w:tc>
          <w:tcPr>
            <w:tcW w:type="dxa" w:w="662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2. Характер контакта с организмом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3012"/>
        <w:gridCol w:w="3012"/>
      </w:tblGrid>
      <w:tr>
        <w:trPr>
          <w:tblHeader/>
        </w:trPr>
        <w:tc>
          <w:tcPr>
            <w:tcW w:type="dxa" w:w="36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Параметр</w:t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Значение</w:t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Обоснование</w:t>
            </w:r>
          </w:p>
        </w:tc>
      </w:tr>
      <w:tr>
        <w:tc>
          <w:tcPr>
            <w:tcW w:type="dxa" w:w="36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Контакт со слизистой оболочкой рта</w:t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 да  ☐ нет</w:t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Контакт со слюной</w:t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 да  ☐ нет</w:t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Слизистая</w:t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 интактная  ☐ повреждённая</w:t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Продолжительность одного применения</w:t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 &lt; 60 мин  ☐ до 30 сут  ☐ &gt; 30 сут</w:t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Применение</w:t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 одноразовое  ☐ многоразовое</w:t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14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Поставка</w:t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 стерильно  ☐ нестерильно</w:t>
            </w:r>
          </w:p>
        </w:tc>
        <w:tc>
          <w:tcPr>
            <w:tcW w:type="dxa" w:w="301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3. Статус изделия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18"/>
        <w:gridCol w:w="5020"/>
      </w:tblGrid>
      <w:tr>
        <w:tc>
          <w:tcPr>
            <w:tcW w:type="dxa" w:w="461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Самостоятельное МИ / принадлежность / часть комплекса</w:t>
            </w:r>
          </w:p>
        </w:tc>
        <w:tc>
          <w:tcPr>
            <w:tcW w:type="dxa" w:w="502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61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Вид МИ по номенклатурной классификации (код, наименование)</w:t>
            </w:r>
          </w:p>
        </w:tc>
        <w:tc>
          <w:tcPr>
            <w:tcW w:type="dxa" w:w="502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61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Класс потенциального риска (1, 2а, 2б, 3)</w:t>
            </w:r>
          </w:p>
        </w:tc>
        <w:tc>
          <w:tcPr>
            <w:tcW w:type="dxa" w:w="502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61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Правило классификации, по которому определён класс</w:t>
            </w:r>
          </w:p>
        </w:tc>
        <w:tc>
          <w:tcPr>
            <w:tcW w:type="dxa" w:w="502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61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Производитель (заявитель)</w:t>
            </w:r>
          </w:p>
        </w:tc>
        <w:tc>
          <w:tcPr>
            <w:tcW w:type="dxa" w:w="502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61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Путь регистрации</w:t>
            </w:r>
          </w:p>
        </w:tc>
        <w:tc>
          <w:tcPr>
            <w:tcW w:type="dxa" w:w="502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 национальная (ПП № 1684, подача до 31.12.2027)  ☐ по правилам ЕАЭС (Решение Совета ЕЭК № 46)</w:t>
            </w:r>
          </w:p>
        </w:tc>
      </w:tr>
      <w:tr>
        <w:tc>
          <w:tcPr>
            <w:tcW w:type="dxa" w:w="461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Нужны ли клинические испытания с участием человека</w:t>
            </w:r>
          </w:p>
        </w:tc>
        <w:tc>
          <w:tcPr>
            <w:tcW w:type="dxa" w:w="502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☐ да  ☐ нет (клиническая оценка по данным)</w:t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4. Применимые стандарты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4417"/>
        <w:gridCol w:w="2611"/>
      </w:tblGrid>
      <w:tr>
        <w:trPr>
          <w:tblHeader/>
        </w:trPr>
        <w:tc>
          <w:tcPr>
            <w:tcW w:type="dxa" w:w="26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Стандарт</w:t>
            </w:r>
          </w:p>
        </w:tc>
        <w:tc>
          <w:tcPr>
            <w:tcW w:type="dxa" w:w="441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Предмет</w:t>
            </w:r>
          </w:p>
        </w:tc>
        <w:tc>
          <w:tcPr>
            <w:tcW w:type="dxa" w:w="261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Применимость</w:t>
            </w:r>
          </w:p>
        </w:tc>
      </w:tr>
      <w:tr>
        <w:tc>
          <w:tcPr>
            <w:tcW w:type="dxa" w:w="26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ГОСТ ISO 10993-1</w:t>
            </w:r>
          </w:p>
        </w:tc>
        <w:tc>
          <w:tcPr>
            <w:tcW w:type="dxa" w:w="441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Биологическая оценка, программа испытаний</w:t>
            </w:r>
          </w:p>
        </w:tc>
        <w:tc>
          <w:tcPr>
            <w:tcW w:type="dxa" w:w="261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ГОСТ ISO 14971</w:t>
            </w:r>
          </w:p>
        </w:tc>
        <w:tc>
          <w:tcPr>
            <w:tcW w:type="dxa" w:w="441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Менеджмент риска</w:t>
            </w:r>
          </w:p>
        </w:tc>
        <w:tc>
          <w:tcPr>
            <w:tcW w:type="dxa" w:w="261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ГОСТ Р 15.013</w:t>
            </w:r>
          </w:p>
        </w:tc>
        <w:tc>
          <w:tcPr>
            <w:tcW w:type="dxa" w:w="441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Постановка на производство МИ</w:t>
            </w:r>
          </w:p>
        </w:tc>
        <w:tc>
          <w:tcPr>
            <w:tcW w:type="dxa" w:w="261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ГОСТ ISO 13485</w:t>
            </w:r>
          </w:p>
        </w:tc>
        <w:tc>
          <w:tcPr>
            <w:tcW w:type="dxa" w:w="441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Система менеджмента качества</w:t>
            </w:r>
          </w:p>
        </w:tc>
        <w:tc>
          <w:tcPr>
            <w:tcW w:type="dxa" w:w="261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41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61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41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61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10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417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61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5. Выводы и следующий шаг</w:t>
      </w:r>
    </w:p>
    <w:p>
      <w:pPr>
        <w:spacing w:after="10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D3B3C"/>
          <w:sz w:val="26"/>
          <w:szCs w:val="26"/>
        </w:rPr>
        <w:t xml:space="preserve">Подписи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6"/>
        <w:gridCol w:w="2461"/>
        <w:gridCol w:w="2461"/>
        <w:gridCol w:w="1538"/>
        <w:gridCol w:w="1332"/>
      </w:tblGrid>
      <w:tr>
        <w:trPr>
          <w:tblHeader/>
        </w:trPr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Роль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ФИО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Должность</w:t>
            </w:r>
          </w:p>
        </w:tc>
        <w:tc>
          <w:tcPr>
            <w:tcW w:type="dxa" w:w="15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Подпись</w:t>
            </w:r>
          </w:p>
        </w:tc>
        <w:tc>
          <w:tcPr>
            <w:tcW w:type="dxa" w:w="133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shd w:fill="DC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Дата</w:t>
            </w:r>
          </w:p>
        </w:tc>
      </w:tr>
      <w:tr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Подготовил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3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Согласовал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3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46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Утвердил (руководитель проекта)</w:t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61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538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32"/>
            <w:tcBorders>
              <w:top w:val="single" w:color="7F8C8D" w:sz="4"/>
              <w:left w:val="single" w:color="7F8C8D" w:sz="4"/>
              <w:bottom w:val="single" w:color="7F8C8D" w:sz="4"/>
              <w:right w:val="single" w:color="7F8C8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8C8D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F8C8D"/>
        <w:sz w:val="18"/>
        <w:szCs w:val="18"/>
      </w:rPr>
      <w:t xml:space="preserve">РЕГ-01 · шаблон, ред.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Регуляторная квалификация изделия</dc:title>
  <dc:creator>ВолгГМУ</dc:creator>
  <cp:lastModifiedBy>Un-named</cp:lastModifiedBy>
  <cp:revision>1</cp:revision>
  <dcterms:created xsi:type="dcterms:W3CDTF">2026-10-01T09:06:07.461Z</dcterms:created>
  <dcterms:modified xsi:type="dcterms:W3CDTF">2026-10-01T09:06:07.461Z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