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4122D" w14:textId="49BD5A87" w:rsidR="002A6306" w:rsidRDefault="002A6306" w:rsidP="005F29A5">
      <w:pPr>
        <w:spacing w:after="0" w:line="240" w:lineRule="auto"/>
        <w:jc w:val="center"/>
        <w:rPr>
          <w:rFonts w:ascii="Avenir Next LT Pro Light" w:eastAsia="Calibri" w:hAnsi="Avenir Next LT Pro Light"/>
          <w:sz w:val="18"/>
          <w:szCs w:val="18"/>
        </w:rPr>
      </w:pPr>
      <w:bookmarkStart w:id="0" w:name="_GoBack"/>
      <w:bookmarkEnd w:id="0"/>
      <w:r w:rsidRPr="00413E92">
        <w:rPr>
          <w:rFonts w:ascii="Avenir Next LT Pro Light" w:eastAsia="Calibri" w:hAnsi="Avenir Next LT Pro Light"/>
          <w:noProof/>
          <w:sz w:val="18"/>
          <w:szCs w:val="18"/>
          <w:lang w:eastAsia="en-IN"/>
        </w:rPr>
        <w:drawing>
          <wp:inline distT="0" distB="0" distL="0" distR="0" wp14:anchorId="6907CC44" wp14:editId="21D0D9EC">
            <wp:extent cx="1219200" cy="933450"/>
            <wp:effectExtent l="0" t="0" r="0" b="0"/>
            <wp:docPr id="440093748" name="Picture 1" descr="College Logo 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llege Logo RGB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038F" w14:textId="77777777" w:rsidR="00B105C1" w:rsidRPr="006569FD" w:rsidRDefault="00B105C1" w:rsidP="005F29A5">
      <w:pPr>
        <w:spacing w:after="0" w:line="240" w:lineRule="auto"/>
        <w:jc w:val="center"/>
        <w:rPr>
          <w:rFonts w:ascii="Avenir Next LT Pro Light" w:eastAsia="Calibri" w:hAnsi="Avenir Next LT Pro Light"/>
          <w:sz w:val="18"/>
          <w:szCs w:val="18"/>
        </w:rPr>
      </w:pPr>
    </w:p>
    <w:p w14:paraId="1DAB1395" w14:textId="77777777" w:rsidR="006D46C7" w:rsidRDefault="006D46C7" w:rsidP="00B105C1">
      <w:pPr>
        <w:spacing w:after="0"/>
        <w:ind w:left="1" w:hanging="3"/>
        <w:jc w:val="center"/>
        <w:rPr>
          <w:rFonts w:ascii="Aptos" w:hAnsi="Aptos"/>
          <w:b/>
          <w:bCs/>
          <w:sz w:val="32"/>
          <w:szCs w:val="28"/>
        </w:rPr>
      </w:pPr>
      <w:r w:rsidRPr="006A5316">
        <w:rPr>
          <w:rFonts w:ascii="Aptos" w:hAnsi="Aptos"/>
          <w:b/>
          <w:bCs/>
          <w:sz w:val="32"/>
          <w:szCs w:val="28"/>
        </w:rPr>
        <w:t>Department of Information Technology</w:t>
      </w:r>
    </w:p>
    <w:p w14:paraId="471B04DC" w14:textId="72D1897F" w:rsidR="006D46C7" w:rsidRDefault="006D46C7" w:rsidP="00B105C1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Aptos" w:eastAsia="Cambria" w:hAnsi="Aptos" w:cs="Cambria"/>
          <w:b/>
          <w:color w:val="000000"/>
          <w:sz w:val="28"/>
        </w:rPr>
      </w:pPr>
      <w:r w:rsidRPr="005C4859">
        <w:rPr>
          <w:rFonts w:ascii="Aptos" w:eastAsia="Cambria" w:hAnsi="Aptos" w:cs="Cambria"/>
          <w:b/>
          <w:sz w:val="28"/>
        </w:rPr>
        <w:t>I</w:t>
      </w:r>
      <w:r w:rsidR="00B105C1">
        <w:rPr>
          <w:rFonts w:ascii="Aptos" w:eastAsia="Cambria" w:hAnsi="Aptos" w:cs="Cambria"/>
          <w:b/>
          <w:sz w:val="28"/>
        </w:rPr>
        <w:t>V</w:t>
      </w:r>
      <w:r w:rsidRPr="005C4859">
        <w:rPr>
          <w:rFonts w:ascii="Aptos" w:eastAsia="Cambria" w:hAnsi="Aptos" w:cs="Cambria"/>
          <w:b/>
          <w:sz w:val="28"/>
        </w:rPr>
        <w:t xml:space="preserve"> </w:t>
      </w:r>
      <w:proofErr w:type="spellStart"/>
      <w:r w:rsidRPr="005C4859">
        <w:rPr>
          <w:rFonts w:ascii="Aptos" w:eastAsia="Cambria" w:hAnsi="Aptos" w:cs="Cambria"/>
          <w:b/>
          <w:sz w:val="28"/>
        </w:rPr>
        <w:t>B.Tech</w:t>
      </w:r>
      <w:proofErr w:type="spellEnd"/>
      <w:r w:rsidRPr="005C4859">
        <w:rPr>
          <w:rFonts w:ascii="Aptos" w:eastAsia="Cambria" w:hAnsi="Aptos" w:cs="Cambria"/>
          <w:b/>
          <w:sz w:val="28"/>
        </w:rPr>
        <w:t xml:space="preserve"> I</w:t>
      </w:r>
      <w:r w:rsidRPr="005C4859">
        <w:rPr>
          <w:rFonts w:ascii="Aptos" w:eastAsia="Cambria" w:hAnsi="Aptos" w:cs="Cambria"/>
          <w:b/>
          <w:color w:val="000000"/>
          <w:sz w:val="28"/>
        </w:rPr>
        <w:t xml:space="preserve"> Semester </w:t>
      </w:r>
    </w:p>
    <w:p w14:paraId="72963B91" w14:textId="77777777" w:rsidR="006D46C7" w:rsidRDefault="006D46C7" w:rsidP="00B105C1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Aptos" w:eastAsia="Cambria" w:hAnsi="Aptos" w:cs="Cambria"/>
          <w:color w:val="000000"/>
          <w:sz w:val="28"/>
        </w:rPr>
      </w:pPr>
      <w:r>
        <w:rPr>
          <w:rFonts w:ascii="Aptos" w:eastAsia="Cambria" w:hAnsi="Aptos" w:cs="Cambria"/>
          <w:b/>
          <w:sz w:val="28"/>
        </w:rPr>
        <w:t xml:space="preserve">A.Y. </w:t>
      </w:r>
      <w:r w:rsidRPr="005C4859">
        <w:rPr>
          <w:rFonts w:ascii="Aptos" w:eastAsia="Cambria" w:hAnsi="Aptos" w:cs="Cambria"/>
          <w:b/>
          <w:color w:val="000000"/>
          <w:sz w:val="28"/>
        </w:rPr>
        <w:t>2</w:t>
      </w:r>
      <w:r w:rsidRPr="005C4859">
        <w:rPr>
          <w:rFonts w:ascii="Aptos" w:eastAsia="Cambria" w:hAnsi="Aptos" w:cs="Cambria"/>
          <w:b/>
          <w:sz w:val="28"/>
        </w:rPr>
        <w:t>026</w:t>
      </w:r>
      <w:r w:rsidRPr="005C4859">
        <w:rPr>
          <w:rFonts w:ascii="Aptos" w:eastAsia="Cambria" w:hAnsi="Aptos" w:cs="Cambria"/>
          <w:b/>
          <w:color w:val="000000"/>
          <w:sz w:val="28"/>
        </w:rPr>
        <w:t>-2</w:t>
      </w:r>
      <w:r w:rsidRPr="005C4859">
        <w:rPr>
          <w:rFonts w:ascii="Aptos" w:eastAsia="Cambria" w:hAnsi="Aptos" w:cs="Cambria"/>
          <w:b/>
          <w:sz w:val="28"/>
        </w:rPr>
        <w:t>7</w:t>
      </w:r>
    </w:p>
    <w:p w14:paraId="05670901" w14:textId="0AFE138F" w:rsidR="006D46C7" w:rsidRPr="00201F6C" w:rsidRDefault="006D46C7" w:rsidP="00B105C1">
      <w:pPr>
        <w:spacing w:after="0" w:line="240" w:lineRule="auto"/>
        <w:ind w:left="1" w:hanging="3"/>
        <w:jc w:val="center"/>
        <w:rPr>
          <w:rFonts w:ascii="Aptos" w:eastAsia="Cambria" w:hAnsi="Aptos" w:cs="Cambria"/>
          <w:b/>
          <w:bCs/>
          <w:sz w:val="28"/>
        </w:rPr>
      </w:pPr>
      <w:r>
        <w:rPr>
          <w:rFonts w:ascii="Aptos" w:eastAsia="Cambria" w:hAnsi="Aptos" w:cs="Cambria"/>
          <w:b/>
          <w:bCs/>
          <w:sz w:val="28"/>
        </w:rPr>
        <w:t>Literature Survey Report</w:t>
      </w:r>
    </w:p>
    <w:p w14:paraId="5CD11493" w14:textId="77777777" w:rsidR="006D46C7" w:rsidRPr="00201F6C" w:rsidRDefault="006D46C7" w:rsidP="0051726C">
      <w:pPr>
        <w:spacing w:line="240" w:lineRule="auto"/>
        <w:ind w:hanging="2"/>
        <w:jc w:val="center"/>
        <w:rPr>
          <w:rFonts w:ascii="Aptos" w:eastAsia="Cambria" w:hAnsi="Aptos" w:cs="Cambria"/>
          <w:bCs/>
        </w:rPr>
      </w:pPr>
    </w:p>
    <w:p w14:paraId="5C0F217E" w14:textId="65B94938" w:rsidR="006D46C7" w:rsidRPr="00201F6C" w:rsidRDefault="006D46C7" w:rsidP="006D46C7">
      <w:pPr>
        <w:spacing w:line="240" w:lineRule="auto"/>
        <w:ind w:hanging="2"/>
        <w:rPr>
          <w:rFonts w:ascii="Aptos" w:eastAsia="Cambria" w:hAnsi="Aptos" w:cs="Cambria"/>
          <w:bCs/>
        </w:rPr>
      </w:pPr>
      <w:r w:rsidRPr="00201F6C">
        <w:rPr>
          <w:rFonts w:ascii="Aptos" w:eastAsia="Cambria" w:hAnsi="Aptos" w:cs="Cambria"/>
          <w:bCs/>
        </w:rPr>
        <w:t xml:space="preserve"> </w:t>
      </w:r>
      <w:proofErr w:type="spellStart"/>
      <w:proofErr w:type="gramStart"/>
      <w:r w:rsidRPr="00B40196">
        <w:rPr>
          <w:rFonts w:ascii="Aptos" w:eastAsia="Cambria" w:hAnsi="Aptos" w:cs="Cambria"/>
          <w:b/>
          <w:bCs/>
        </w:rPr>
        <w:t>F.No</w:t>
      </w:r>
      <w:proofErr w:type="spellEnd"/>
      <w:r w:rsidRPr="00B40196">
        <w:rPr>
          <w:rFonts w:ascii="Aptos" w:eastAsia="Cambria" w:hAnsi="Aptos" w:cs="Cambria"/>
          <w:b/>
          <w:bCs/>
        </w:rPr>
        <w:t xml:space="preserve"> :</w:t>
      </w:r>
      <w:proofErr w:type="gramEnd"/>
      <w:r w:rsidRPr="00201F6C">
        <w:rPr>
          <w:rFonts w:ascii="Aptos" w:eastAsia="Cambria" w:hAnsi="Aptos" w:cs="Cambria"/>
          <w:bCs/>
        </w:rPr>
        <w:t xml:space="preserve"> VCE/INF/2026-27/M</w:t>
      </w:r>
      <w:r w:rsidR="00B105C1">
        <w:rPr>
          <w:rFonts w:ascii="Aptos" w:eastAsia="Cambria" w:hAnsi="Aptos" w:cs="Cambria"/>
          <w:bCs/>
        </w:rPr>
        <w:t>ajor</w:t>
      </w:r>
      <w:r w:rsidRPr="00201F6C">
        <w:rPr>
          <w:rFonts w:ascii="Aptos" w:eastAsia="Cambria" w:hAnsi="Aptos" w:cs="Cambria"/>
          <w:bCs/>
        </w:rPr>
        <w:t xml:space="preserve"> Project/Phase -1/</w:t>
      </w:r>
      <w:r>
        <w:rPr>
          <w:rFonts w:ascii="Aptos" w:eastAsia="Cambria" w:hAnsi="Aptos" w:cs="Cambria"/>
          <w:bCs/>
        </w:rPr>
        <w:t>Literature Survey</w:t>
      </w:r>
      <w:r w:rsidRPr="00201F6C">
        <w:rPr>
          <w:rFonts w:ascii="Aptos" w:eastAsia="Cambria" w:hAnsi="Aptos" w:cs="Cambria"/>
          <w:bCs/>
        </w:rPr>
        <w:tab/>
      </w:r>
      <w:r w:rsidRPr="00201F6C"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 w:rsidRPr="00B40196">
        <w:rPr>
          <w:rFonts w:ascii="Aptos" w:eastAsia="Cambria" w:hAnsi="Aptos" w:cs="Cambria"/>
          <w:b/>
          <w:bCs/>
        </w:rPr>
        <w:t>Date:  17.07.2026</w:t>
      </w:r>
      <w:r>
        <w:rPr>
          <w:rFonts w:ascii="Aptos" w:eastAsia="Cambria" w:hAnsi="Aptos" w:cs="Cambria"/>
          <w:bCs/>
        </w:rPr>
        <w:t xml:space="preserve">    </w:t>
      </w:r>
    </w:p>
    <w:tbl>
      <w:tblPr>
        <w:tblStyle w:val="TableGrid"/>
        <w:tblW w:w="14167" w:type="dxa"/>
        <w:tblLook w:val="04A0" w:firstRow="1" w:lastRow="0" w:firstColumn="1" w:lastColumn="0" w:noHBand="0" w:noVBand="1"/>
      </w:tblPr>
      <w:tblGrid>
        <w:gridCol w:w="723"/>
        <w:gridCol w:w="2910"/>
        <w:gridCol w:w="2568"/>
        <w:gridCol w:w="1818"/>
        <w:gridCol w:w="2328"/>
        <w:gridCol w:w="2052"/>
        <w:gridCol w:w="1768"/>
      </w:tblGrid>
      <w:tr w:rsidR="00BD7D21" w:rsidRPr="006D46C7" w14:paraId="5F79C1FB" w14:textId="77777777" w:rsidTr="00B105C1">
        <w:trPr>
          <w:trHeight w:val="1288"/>
        </w:trPr>
        <w:tc>
          <w:tcPr>
            <w:tcW w:w="421" w:type="dxa"/>
            <w:vAlign w:val="center"/>
          </w:tcPr>
          <w:p w14:paraId="358BA1C8" w14:textId="641F0DC8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proofErr w:type="spellStart"/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997" w:type="dxa"/>
            <w:vAlign w:val="center"/>
          </w:tcPr>
          <w:p w14:paraId="48CA5291" w14:textId="00037D26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2622" w:type="dxa"/>
            <w:vAlign w:val="center"/>
          </w:tcPr>
          <w:p w14:paraId="14CE6782" w14:textId="298A212F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Methodology Used</w:t>
            </w:r>
          </w:p>
        </w:tc>
        <w:tc>
          <w:tcPr>
            <w:tcW w:w="1859" w:type="dxa"/>
            <w:vAlign w:val="center"/>
          </w:tcPr>
          <w:p w14:paraId="4D65B01B" w14:textId="039F0C26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Dataset Used if Any</w:t>
            </w:r>
          </w:p>
        </w:tc>
        <w:tc>
          <w:tcPr>
            <w:tcW w:w="2368" w:type="dxa"/>
            <w:vAlign w:val="center"/>
          </w:tcPr>
          <w:p w14:paraId="5121D965" w14:textId="5BB2FE12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Performance Metrics</w:t>
            </w:r>
          </w:p>
        </w:tc>
        <w:tc>
          <w:tcPr>
            <w:tcW w:w="2086" w:type="dxa"/>
            <w:vAlign w:val="center"/>
          </w:tcPr>
          <w:p w14:paraId="1A9DCC83" w14:textId="712382C9" w:rsidR="002A6306" w:rsidRPr="006D46C7" w:rsidRDefault="00BD7D21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814" w:type="dxa"/>
            <w:vAlign w:val="center"/>
          </w:tcPr>
          <w:p w14:paraId="32BB88BE" w14:textId="03C73B39" w:rsidR="002A6306" w:rsidRPr="006D46C7" w:rsidRDefault="00BD7D21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Future Work</w:t>
            </w:r>
          </w:p>
        </w:tc>
      </w:tr>
      <w:tr w:rsidR="00BD7D21" w:rsidRPr="006D46C7" w14:paraId="73920834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Topol, E. J. (2019). High-performance medicine: the convergence of human and artificial intelligence. Nature Medicine, 25(1), 44-56.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Systematic review of AI in clinical practice across radiology, pathology, cardiology, and patient-facing applications.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Clinical trials and validation cohorts cited from 100+ literature sources.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Diagnostic accuracy, sensitivity, specificity, and Area Under the ROC Curve (AUC) comparisons.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AI shows specialist-level diagnostic accuracy in image-heavy domains and can prevent human diagnostic error when used as decision support.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Integrate multimodal data (imaging + electronic health records) for holistic patient-level triage.</w:t>
            </w:r>
          </w:p>
        </w:tc>
      </w:tr>
      <w:tr w:rsidR="00BD7D21" w:rsidRPr="006D46C7" w14:paraId="3E9042F8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2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Esteva, A., et al. (2017). Dermatologist-level classification of skin cancer with deep neural networks. Nature, 542(7639), 115-118.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Convolutional Neural Network (CNN) trained end-to-end for skin lesion classification.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Dataset of 129,450 clinical images consisting of 2,032 different diseases.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Accuracy (AUC = 0.96 for melanoma detection), matching dermatologist performance.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Deep neural networks can classify skin lesions with accuracy comparable to board-certified dermatologists.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Optimize models for low-resource mobile environments and edge deployment for home-based screening.</w:t>
            </w:r>
          </w:p>
        </w:tc>
      </w:tr>
      <w:tr w:rsidR="00BD7D21" w:rsidRPr="006D46C7" w14:paraId="669C079E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3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Shickel, B., et al. (2018). Deep EHR: A Survey of Recent Advances in EHR Analysis. IEEE JBHI, 22(5), 1589-1604.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Systematic survey of deep learning architectures (RNNs, LSTMs, CNNs) applied to EHR data.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Survey of 100+ clinical datasets including MIMIC-III and hospital registries.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Model accuracy, F1-score, and precision in predicting readmission, mortality, and length of stay.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Deep learning models successfully capture temporal clinical events but suffer from data sparsity and lack of clinical explainability.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Incorporate explainable AI (XAI) layers and human-in-the-loop validation for patient safety.</w:t>
            </w:r>
          </w:p>
        </w:tc>
      </w:tr>
      <w:tr w:rsidR="00BD7D21" w:rsidRPr="006D46C7" w14:paraId="692786CE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4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Bates, D. W., et al. (2021). The potential of artificial intelligence to reduce harm in healthcare. NEJM Catalyst.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Evaluation of computerized physician order entry (CPOE) and AI-driven clinical decision support (CDS) safety systems.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Multi-hospital clinical workspace data and patient safety databases.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Adverse Drug Event (ADE) reduction rates (50-80% decrease in preventable medication errors).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AI safety engines significantly reduce prescribing errors but general-purpose models risk alert fatigue.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Design localized, deterministic safety rules coupled with contextual LLM filtering.</w:t>
            </w:r>
          </w:p>
        </w:tc>
      </w:tr>
      <w:tr w:rsidR="00BD7D21" w:rsidRPr="006D46C7" w14:paraId="0ECC3120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5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Rajpurkar, P., et al. (2022). AI in health and medicine. Nature Medicine, 28(1), 31-38.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Comprehensive framework for AI integration in clinical workflows, from image analysis to triage.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Multi-center clinical trial datasets spanning radiology, pathology, and ophthalmology.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Sensitivity, specificity, deployment latency, and clinician adoption metrics.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Successful medical AI requires robust pipelines that handle real-world data noise and image quality variation.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Implement robust local preprocessing pipelines (e.g., Pillow normalization) to standardize images before AI analysis.</w:t>
            </w:r>
          </w:p>
        </w:tc>
      </w:tr>
      <w:tr w:rsidR="00BD7D21" w:rsidRPr="006D46C7" w14:paraId="02810E9C" w14:textId="77777777" w:rsidTr="00B105C1">
        <w:trPr>
          <w:trHeight w:val="429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6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Kohn, L. T., et al. (2000). To Err is Human: Building a Safer Health System. National Academies Press.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Epidemiological study of medical error rates in US hospitals.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Review of thousands of patient records across multiple states.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Preventable mortality rate (44,000 to 98,000 deaths/year from medical errors).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Medical errors are a system-level failure; automated cross-checking and safety redundancies are vital.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Develop patient-facing direct-validation systems to prevent last-mile outpatient medication errors.</w:t>
            </w:r>
          </w:p>
        </w:tc>
      </w:tr>
      <w:tr w:rsidR="00BD7D21" w:rsidRPr="006D46C7" w14:paraId="06A1014F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7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Wang, Y., et al. (2020). Drug-Drug Interaction Prediction via Knowledge Graphs. Bioinformatics, 36(18), 4674-4681.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Knowledge Graph Embeddings (KGE) combined with deep neural networks for DDI prediction.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DrugBank database (consisting of 300,000+ DDI interactions).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Area Under Precision-Recall Curve (AUPRC = 0.94) and ROC-AUC (0.97).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Knowledge graphs improve prediction of novel DDI pairs but cannot guarantee safety for known pairs.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Use deterministic clinical databases for known DDIs and reserve AI for contextual compatibility.</w:t>
            </w:r>
          </w:p>
        </w:tc>
      </w:tr>
      <w:tr w:rsidR="00BD7D21" w:rsidRPr="006D46C7" w14:paraId="5CFA8BE2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8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Miotto, R., et al. (2016). Deep Patient: An unsupervised representation of clinical data. Scientific Reports.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Denoising autoencoders for learning representation of patient health status from EHRs.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Mount Sinai hospital database consisting of 700,000+ patient records.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ROC-AUC (0.77 to 0.82) for predicting diverse diseases (diabetes, cancer, heart failure).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Unsupervised deep representation learning captures complex disease relationships and clinical histories.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Adapt clinical history representation for conversational, multi-turn medical agents.</w:t>
            </w:r>
          </w:p>
        </w:tc>
      </w:tr>
      <w:tr w:rsidR="00BD7D21" w:rsidRPr="006D46C7" w14:paraId="69EAB55E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9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Rajpurkar, P., et al. (2017). CheXNet: Radiologist-level pneumonia detection on chest x-rays. arXiv.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121-layer DenseNet trained on chest radiographs to detect 14 different pathologies.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ChestX-ray14 dataset consisting of 112,120 frontal-view X-ray images.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F1-score comparison against 4 practicing radiologists (CheXNet achieved higher F1 in pneumonia).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Deep learning architectures can classify chest X-ray pathologies at radiologist-level accuracy.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Integrate automated chest X-ray screening into basic triage agents to highlight red flags.</w:t>
            </w:r>
          </w:p>
        </w:tc>
      </w:tr>
      <w:tr w:rsidR="00BD7D21" w:rsidRPr="006D46C7" w14:paraId="10038F20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10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Hannun, A. Y., et al. (2019). Cardiologist-level arrhythmia detection in ambulatory ECG. Nature Medicine.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34-layer convolutional neural network classifying 12 cardiac rhythm types.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Dataset of 91,232 single-lead ECG records from 53,549 patients.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F1-score (0.837) matching or exceeding the average performance of board-certified cardiologists.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Deep learning successfully automates single-lead ECG interpretation, flagging immediately critical arrhythmias.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Route ECG waveform classifications directly to emergency dispatch systems in real-time.</w:t>
            </w:r>
          </w:p>
        </w:tc>
      </w:tr>
      <w:tr w:rsidR="00BD7D21" w:rsidRPr="006D46C7" w14:paraId="61388944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11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Wooldridge, M. (2009). An Introduction to Multi-Agent Systems. John Wiley &amp; Sons.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Theoretical framework for agent architecture, cooperation, communication, and task delegation.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Academic simulations and agent interaction models.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Delegation efficiency, coordination latency, and target task completion rates.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Complex workflows are best solved by specialized, autonomous sub-agents coordinated by a central orchestrator.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Apply the multi-agent coordination pattern to healthcare navigation (triage, research, calendar specialists).</w:t>
            </w:r>
          </w:p>
        </w:tc>
      </w:tr>
      <w:tr w:rsidR="00BD7D21" w:rsidRPr="006D46C7" w14:paraId="0136412C" w14:textId="77777777" w:rsidTr="00B105C1">
        <w:trPr>
          <w:trHeight w:val="429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12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Devlin, J., et al. (2018). BERT: Pre-training of Deep Bidirectional Transformers for Language Understanding. arXiv.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Transformer-based language model for contextual sequence classification and text understanding.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Wikipedia corpus and BookCorpus (3.3 billion words).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State-of-the-art results on GLUE, SQuAD, and named entity recognition (NER) benchmarks.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Bidirectional training allows transformers to capture context around words, vital for clinical entity parsing.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Fine-tune transformers to extract structured drug names and dosages from noisy OCR transcription text.</w:t>
            </w:r>
          </w:p>
        </w:tc>
      </w:tr>
      <w:tr w:rsidR="00BD7D21" w:rsidRPr="006D46C7" w14:paraId="5769CE2C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13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Berner, E. S., &amp; Graber, M. L. (2008). Overconfidence as a cause of diagnostic error in medicine. Am. J. Med.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Clinical cognitive study evaluating factors leading to diagnostic errors in primary care.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Review of hundreds of documented diagnostic error cases.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Diagnostic error rates (10-15% in outpatient care) and correlation with clinician overconfidence.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Diagnostic errors are frequently caused by failing to seek second opinions or check drug interactions.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Implement automated, non-overconfident decision-support checks to alert clinicians and patients to blind spots.</w:t>
            </w:r>
          </w:p>
        </w:tc>
      </w:tr>
      <w:tr w:rsidR="00BD7D21" w:rsidRPr="006D46C7" w14:paraId="1D9387C8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14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Google LLC. (2024). Agent Development Kit (ADK) Reference Manual and Architectural Patterns.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Software framework for coordinated LLM sub-agents utilizing tool-calling, memory, and sandboxed runtimes.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Internal test suites and pilot multi-agent applications.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Task routing accuracy (95%+) and multi-turn conversation coherence.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Coordinating specialized agents with specific system instructions prevents out-of-scope hallucinations.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Deploy ADK to isolate patient triage, medical research, and lab analysis into distinct safety-guarded agents.</w:t>
            </w:r>
          </w:p>
        </w:tc>
      </w:tr>
      <w:tr w:rsidR="00BD7D21" w:rsidRPr="006D46C7" w14:paraId="099E7433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15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Bates, D. W., et al. (1998). Effect of computerized physician order entry on prevention of ADEs. JAMA.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Clinical study on computerized medication order systems and alert triggers.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Patient records across major Boston teaching hospitals.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Preventable medication error reduction rate (CPOE reduced serious medication errors by 55%).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Computerized systems prevent transcription and dosage timing errors before the patient leaves the clinic.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Extend timing logic to the patient's home by auto-generating daily schedule cards from prescriptions.</w:t>
            </w:r>
          </w:p>
        </w:tc>
      </w:tr>
      <w:tr w:rsidR="00BD7D21" w:rsidRPr="006D46C7" w14:paraId="112F5D5F" w14:textId="77777777" w:rsidTr="00B105C1">
        <w:trPr>
          <w:trHeight w:val="429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16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Bailey, D. G., et al. (2013). Grapefruit-medication interactions: Forbidden fruit or avoidable consequence? CMAJ.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Clinical evaluation of CYP3A4 inhibition by furanocoumarins in grapefruit.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Pharmacokinetic blood concentration data from clinical trials.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Serum drug concentration spikes (200-500% increase in blood levels of certain statins and thinners).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Grapefruit dramatically alters drug metabolism, turning a therapeutic dose into a toxic overdose.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Build a deterministic food-drug warning system to alert patients of dietary contraindications.</w:t>
            </w:r>
          </w:p>
        </w:tc>
      </w:tr>
      <w:tr w:rsidR="00BD7D21" w:rsidRPr="006D46C7" w14:paraId="716BF9ED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17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Classen, D. C., et al. (2011). 'Global Trigger Tool' shows that ADEs occur in 33% of hospital admissions. Health Affairs.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Retrospective audit of patient safety triggers in acute care facilities.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Medical records of 795 patients across three hospital systems.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ADE detection rate (found 10x more adverse drug events than voluntary reporting systems).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Therapeutic duplications (prescribing brand and generic equivalents) are a primary source of outpatient toxicity.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Implement a brand-to-generic resolution layer to automatically detect therapeutic duplications.</w:t>
            </w:r>
          </w:p>
        </w:tc>
      </w:tr>
      <w:tr w:rsidR="00BD7D21" w:rsidRPr="006D46C7" w14:paraId="3E4513ED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18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Osterberg, L., &amp; Blaschke, T. (2005). Adherence to medication. New England Journal of Medicine, 353(5), 487-497.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Clinical review of factors affecting patient non-adherence and its consequences.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Review of hundreds of medical studies on patient adherence.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Non-adherence rates (typically 50% for chronic disease medications) and health costs ($100B annually).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Complex medication schedules represent the primary driver of patient non-adherence and timing errors.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Generate automated, personalized daily medication schedules with clear visual time-slots for patients.</w:t>
            </w:r>
          </w:p>
        </w:tc>
      </w:tr>
      <w:tr w:rsidR="00BD7D21" w:rsidRPr="006D46C7" w14:paraId="5F2CF0E9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19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Sayadi, O., &amp; Shamsollahi, M. B. (2008). Multi-adaptive binarization for ECG grid-line filtering. IEEE TBME.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Adaptive thresholding algorithms to filter grid lines and enhance ECG waveform contrast.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MIT-BIH Arrhythmia Database.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Signal-to-noise ratio (SNR) improvement and waveform feature extraction precision.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Proper grid line filtering and image binarization are critical to automate ECG waveform analysis.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Deploy adaptive binarization in the image processing pipeline to filter ECG grids before vision LLM input.</w:t>
            </w:r>
          </w:p>
        </w:tc>
      </w:tr>
      <w:tr w:rsidR="006D46C7" w:rsidRPr="006D46C7" w14:paraId="3FFCC672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20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Pizer, S. M., et al. (1987). Adaptive histogram equalization (AHE) and its variations. Computer Vision.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Contrast-limited adaptive histogram equalization (CLAHE) for medical image display.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Clinical chest radiographs and CT scans.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Radiologist visual perception scores and diagnostic target detection rates.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Histogram equalization dramatically improves diagnostic visualization of bone and lung tissue features.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Implement contrast-limited histogram equalization (CLAHE) for X-ray images prior to sending to vision agents.</w:t>
            </w:r>
          </w:p>
        </w:tc>
      </w:tr>
    </w:tbl>
    <w:p w14:paraId="09079C5A" w14:textId="10F625B8" w:rsidR="00C75403" w:rsidRDefault="00C75403"/>
    <w:p w14:paraId="0953B63F" w14:textId="77777777" w:rsidR="002A6306" w:rsidRDefault="002A6306"/>
    <w:p w14:paraId="271F89BE" w14:textId="77777777" w:rsidR="002A6306" w:rsidRDefault="002A6306"/>
    <w:p w14:paraId="4E16FB11" w14:textId="77777777" w:rsidR="002A6306" w:rsidRPr="00BE43BD" w:rsidRDefault="002A6306" w:rsidP="00BE43BD">
      <w:pPr>
        <w:spacing w:after="0" w:line="240" w:lineRule="auto"/>
        <w:rPr>
          <w:rFonts w:ascii="Kalinga" w:eastAsia="MS Mincho" w:hAnsi="Kalinga" w:cs="Kalinga"/>
          <w:b/>
          <w:lang w:val="en-US"/>
        </w:rPr>
      </w:pPr>
    </w:p>
    <w:p w14:paraId="32F8621C" w14:textId="3BB778B8" w:rsidR="002A6306" w:rsidRPr="00BD7D21" w:rsidRDefault="002A6306" w:rsidP="00BE43BD">
      <w:pPr>
        <w:spacing w:after="0" w:line="240" w:lineRule="auto"/>
        <w:rPr>
          <w:rFonts w:ascii="Aptos" w:eastAsia="MS Mincho" w:hAnsi="Aptos" w:cs="Kalinga"/>
          <w:b/>
          <w:sz w:val="24"/>
          <w:szCs w:val="24"/>
          <w:lang w:val="en-US"/>
        </w:rPr>
      </w:pP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>Signature of the Supervisor</w:t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B105C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Signature of Coordinator </w:t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B105C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Signature of </w:t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>the Project Convener</w:t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BE43BD"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          </w:t>
      </w:r>
      <w:r w:rsid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  </w:t>
      </w:r>
    </w:p>
    <w:p w14:paraId="3B11BFD0" w14:textId="77777777" w:rsidR="002A6306" w:rsidRDefault="002A6306"/>
    <w:sectPr w:rsidR="002A6306" w:rsidSect="006D46C7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Next LT Pro Light">
    <w:altName w:val="Arial"/>
    <w:charset w:val="00"/>
    <w:family w:val="swiss"/>
    <w:pitch w:val="variable"/>
    <w:sig w:usb0="00000001" w:usb1="5000204B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961C7"/>
    <w:multiLevelType w:val="hybridMultilevel"/>
    <w:tmpl w:val="92CAD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306"/>
    <w:rsid w:val="0008354C"/>
    <w:rsid w:val="00187B7B"/>
    <w:rsid w:val="002A6306"/>
    <w:rsid w:val="005F29A5"/>
    <w:rsid w:val="006234C8"/>
    <w:rsid w:val="00646609"/>
    <w:rsid w:val="00656FAC"/>
    <w:rsid w:val="006D46C7"/>
    <w:rsid w:val="007F0D3F"/>
    <w:rsid w:val="009151FB"/>
    <w:rsid w:val="00977D5C"/>
    <w:rsid w:val="00A0460C"/>
    <w:rsid w:val="00A23562"/>
    <w:rsid w:val="00B04FAE"/>
    <w:rsid w:val="00B105C1"/>
    <w:rsid w:val="00BD7D21"/>
    <w:rsid w:val="00BE43BD"/>
    <w:rsid w:val="00C56EE7"/>
    <w:rsid w:val="00C7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1BBA"/>
  <w15:chartTrackingRefBased/>
  <w15:docId w15:val="{2DC542DA-FA12-4011-A046-EBDAA123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3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3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3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3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3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3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3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3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3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3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30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A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Majjari</dc:creator>
  <cp:keywords/>
  <dc:description/>
  <cp:lastModifiedBy>Dr Nikhila</cp:lastModifiedBy>
  <cp:revision>10</cp:revision>
  <dcterms:created xsi:type="dcterms:W3CDTF">2025-06-26T09:06:00Z</dcterms:created>
  <dcterms:modified xsi:type="dcterms:W3CDTF">2026-07-01T05:59:00Z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65e82cb6-9e51-4772-9722-0748b070ce24</vt:lpwstr>
  </property>
</Properties>
</file>