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1F3964"/>
          <w:sz w:val="40"/>
        </w:rPr>
        <w:t>MediGuide Vision AI: Multiagent Medical Image Analysis and Healthcare Navigation</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before="0" w:after="0"/>
              <w:jc w:val="center"/>
            </w:pPr>
            <w:r>
              <w:rPr>
                <w:rFonts w:ascii="Times New Roman" w:hAnsi="Times New Roman"/>
                <w:b/>
                <w:sz w:val="19"/>
              </w:rPr>
              <w:t>Ratna Ganesh Reddy</w:t>
              <w:br/>
            </w:r>
            <w:r>
              <w:rPr>
                <w:rFonts w:ascii="Times New Roman" w:hAnsi="Times New Roman"/>
                <w:i/>
                <w:sz w:val="17"/>
              </w:rPr>
              <w:t>Dept. of Information Technology</w:t>
              <w:br/>
              <w:t>Vardhaman College of Engineering</w:t>
              <w:br/>
              <w:t>Hyderabad, India</w:t>
              <w:br/>
            </w:r>
            <w:r>
              <w:rPr>
                <w:rFonts w:ascii="Times New Roman" w:hAnsi="Times New Roman"/>
                <w:sz w:val="17"/>
              </w:rPr>
              <w:t>ratnaganeshreddy@gmail.com</w:t>
            </w:r>
          </w:p>
        </w:tc>
        <w:tc>
          <w:tcPr>
            <w:tcW w:type="dxa" w:w="2437"/>
          </w:tcPr>
          <w:p>
            <w:pPr>
              <w:spacing w:before="0" w:after="0"/>
              <w:jc w:val="center"/>
            </w:pPr>
            <w:r>
              <w:rPr>
                <w:rFonts w:ascii="Times New Roman" w:hAnsi="Times New Roman"/>
                <w:b/>
                <w:sz w:val="19"/>
              </w:rPr>
              <w:t>P. Maruthi Sai Teja</w:t>
              <w:br/>
            </w:r>
            <w:r>
              <w:rPr>
                <w:rFonts w:ascii="Times New Roman" w:hAnsi="Times New Roman"/>
                <w:i/>
                <w:sz w:val="17"/>
              </w:rPr>
              <w:t>Dept. of Information Technology</w:t>
              <w:br/>
              <w:t>Vardhaman College of Engineering</w:t>
              <w:br/>
              <w:t>Hyderabad, India</w:t>
              <w:br/>
            </w:r>
            <w:r>
              <w:rPr>
                <w:rFonts w:ascii="Times New Roman" w:hAnsi="Times New Roman"/>
                <w:sz w:val="17"/>
              </w:rPr>
              <w:t>maruthisaiteja9@gmail.com</w:t>
            </w:r>
          </w:p>
        </w:tc>
        <w:tc>
          <w:tcPr>
            <w:tcW w:type="dxa" w:w="2437"/>
          </w:tcPr>
          <w:p>
            <w:pPr>
              <w:spacing w:before="0" w:after="0"/>
              <w:jc w:val="center"/>
            </w:pPr>
            <w:r>
              <w:rPr>
                <w:rFonts w:ascii="Times New Roman" w:hAnsi="Times New Roman"/>
                <w:b/>
                <w:sz w:val="19"/>
              </w:rPr>
              <w:t>P. Pavan Goud</w:t>
              <w:br/>
            </w:r>
            <w:r>
              <w:rPr>
                <w:rFonts w:ascii="Times New Roman" w:hAnsi="Times New Roman"/>
                <w:i/>
                <w:sz w:val="17"/>
              </w:rPr>
              <w:t>Dept. of Information Technology</w:t>
              <w:br/>
              <w:t>Vardhaman College of Engineering</w:t>
              <w:br/>
              <w:t>Hyderabad, India</w:t>
              <w:br/>
            </w:r>
            <w:r>
              <w:rPr>
                <w:rFonts w:ascii="Times New Roman" w:hAnsi="Times New Roman"/>
                <w:sz w:val="17"/>
              </w:rPr>
              <w:t>pavangoud0215@gmail.com</w:t>
            </w:r>
          </w:p>
        </w:tc>
        <w:tc>
          <w:tcPr>
            <w:tcW w:type="dxa" w:w="2437"/>
          </w:tcPr>
          <w:p>
            <w:pPr>
              <w:spacing w:before="0" w:after="0"/>
              <w:jc w:val="center"/>
            </w:pPr>
            <w:r>
              <w:rPr>
                <w:rFonts w:ascii="Times New Roman" w:hAnsi="Times New Roman"/>
                <w:b/>
                <w:sz w:val="19"/>
              </w:rPr>
              <w:t>Dr. L. Sunitha</w:t>
              <w:br/>
            </w:r>
            <w:r>
              <w:rPr>
                <w:rFonts w:ascii="Times New Roman" w:hAnsi="Times New Roman"/>
                <w:i/>
                <w:sz w:val="17"/>
              </w:rPr>
              <w:t>Dept. of Information Technology</w:t>
              <w:br/>
              <w:t>Vardhaman College of Engineering</w:t>
              <w:br/>
              <w:t>Hyderabad, India</w:t>
              <w:br/>
            </w:r>
            <w:r>
              <w:rPr>
                <w:rFonts w:ascii="Times New Roman" w:hAnsi="Times New Roman"/>
                <w:sz w:val="17"/>
              </w:rPr>
              <w:t>lsunitha@vardhaman.org</w:t>
            </w:r>
          </w:p>
        </w:tc>
      </w:tr>
    </w:tbl>
    <w:p>
      <w:pPr>
        <w:spacing w:after="160"/>
      </w:pPr>
    </w:p>
    <w:p>
      <w:pPr>
        <w:spacing w:after="80"/>
        <w:jc w:val="both"/>
      </w:pPr>
      <w:r>
        <w:rPr>
          <w:rFonts w:ascii="Times New Roman" w:hAnsi="Times New Roman"/>
          <w:b/>
          <w:i/>
          <w:sz w:val="19"/>
        </w:rPr>
        <w:t xml:space="preserve">Abstract— </w:t>
      </w:r>
      <w:r>
        <w:rPr>
          <w:rFonts w:ascii="Times New Roman" w:hAnsi="Times New Roman"/>
          <w:sz w:val="19"/>
        </w:rPr>
        <w:t>Diagnostic accessibility and medication safety constitute two of the most critical frontiers in modern healthcare engineering. Preventable medical errors cause over 250,000 deaths annually worldwide, driven primarily by undetected adverse drug interactions, therapeutic duplications, non-standard handwritten prescription transcription errors, and misinterpreted laboratory results. To solve this crisis, this paper presents MediGuide Vision AI, a multimodal, multi-agent healthcare navigation and medical image analysis system engineered using Google's Agent Development Kit (ADK). The system coordinates five specialized domain sub-agents (VisionAgent, LabAgent, TriageAgent, SchedulerAgent, and ResearchAgent) under an intelligent root OrchestratorAgent. A robust computer vision pipeline utilizing Pillow (Contrast-Limited Adaptive Histogram Equalization, Lanczos aspect scaling, and adaptive binarization) pre-processes four distinct diagnostic image modalities: handwritten prescriptions, skin lesions, chest X-rays, and ECG waveforms prior to vision-language processing. Safety-critical decisions are guarded by deterministic local algorithms: (1) brand-to-generic resolution detecting dangerous therapeutic duplications, (2) CYP3A4 metabolic pathway food-drug interaction matrices, (3) a 35+ clinical blood parameter analyzer with emergency cardiac/metabolic alarms, and (4) a 7-factor weighted Health Risk Scoring algorithm producing an auditable 1–100 clinical severity index. Empirical evaluation shows 98.2% OCR entity extraction precision, 100% recall on critical drug/food contraindications, and sub-1.5s multi-agent routing latency, demonstrating an effective solution for outpatient clinical decision support and patient safety.</w:t>
      </w:r>
    </w:p>
    <w:p>
      <w:pPr>
        <w:spacing w:after="240"/>
        <w:jc w:val="both"/>
      </w:pPr>
      <w:r>
        <w:rPr>
          <w:rFonts w:ascii="Times New Roman" w:hAnsi="Times New Roman"/>
          <w:b/>
          <w:i/>
          <w:sz w:val="19"/>
        </w:rPr>
        <w:t xml:space="preserve">Index Terms— </w:t>
      </w:r>
      <w:r>
        <w:rPr>
          <w:rFonts w:ascii="Times New Roman" w:hAnsi="Times New Roman"/>
          <w:sz w:val="19"/>
        </w:rPr>
        <w:t>Medical Image Processing, Multi-Agent Systems, Google ADK, Prescription OCR, Food-Drug Interactions, Health Risk Scoring, Clinical Decision Support, Computer Vision.</w:t>
      </w:r>
    </w:p>
    <w:p>
      <w:pPr>
        <w:keepNext/>
        <w:spacing w:before="280" w:after="80"/>
      </w:pPr>
      <w:r>
        <w:rPr>
          <w:rFonts w:ascii="Times New Roman" w:hAnsi="Times New Roman"/>
          <w:b/>
          <w:color w:val="000000"/>
          <w:sz w:val="22"/>
        </w:rPr>
        <w:t>I. INTRODUCTION</w:t>
      </w:r>
    </w:p>
    <w:p>
      <w:pPr>
        <w:spacing w:before="0" w:after="80" w:line="276" w:lineRule="auto"/>
        <w:jc w:val="both"/>
      </w:pPr>
      <w:r>
        <w:rPr>
          <w:rFonts w:ascii="Times New Roman" w:hAnsi="Times New Roman"/>
          <w:sz w:val="20"/>
        </w:rPr>
        <w:t>Medical errors are recognized as the third leading cause of mortality globally, contributing to more than 250,000 preventable deaths in the United States alone and millions more across developing nations. The root causes of these outpatient crises stem from four major systemic bottlenecks: (i) severe healthcare practitioner shortages, exemplified in India by a physician-to-patient ratio of 1:1,457 (significantly below the World Health Organization guideline of 1:1,000); (ii) patient inability to comprehend complex diagnostic laboratory panels; (iii) the fragmented prescribing patterns of multiple consulting physicians leading to uncoordinated therapeutic duplications (e.g., prescribing both a proprietary brand name and a generic formulation of the same active drug); and (iv) widespread unawareness regarding severe food-drug pharmacokinetic contraindications (such as intestinal CYP3A4 inhibition by grapefruit juice).</w:t>
      </w:r>
    </w:p>
    <w:p>
      <w:pPr>
        <w:spacing w:before="0" w:after="80" w:line="276" w:lineRule="auto"/>
        <w:jc w:val="both"/>
      </w:pPr>
      <w:r>
        <w:rPr>
          <w:rFonts w:ascii="Times New Roman" w:hAnsi="Times New Roman"/>
          <w:sz w:val="20"/>
        </w:rPr>
        <w:t>While recent advances in Large Language Models (LLMs) such as GPT-4 and Claude 3.5 have popularized general-purpose medical conversational bots, direct deployment of monolithic LLMs in safety-critical clinical environments introduces unacceptable risks. Unconstrained LLMs suffer from probabilistic hallucinations, context dilution, lack of brand-to-generic determinism, and inability to handle degraded, low-resolution camera captures of prescriptions. In healthcare, a probabilistic guess regarding a dosage contraindication can be fatal.</w:t>
      </w:r>
    </w:p>
    <w:p>
      <w:pPr>
        <w:spacing w:before="0" w:after="80" w:line="276" w:lineRule="auto"/>
        <w:jc w:val="both"/>
      </w:pPr>
      <w:r>
        <w:rPr>
          <w:rFonts w:ascii="Times New Roman" w:hAnsi="Times New Roman"/>
          <w:b/>
          <w:sz w:val="20"/>
        </w:rPr>
        <w:t xml:space="preserve">Contributions: </w:t>
      </w:r>
      <w:r>
        <w:rPr>
          <w:rFonts w:ascii="Times New Roman" w:hAnsi="Times New Roman"/>
          <w:sz w:val="20"/>
        </w:rPr>
        <w:t>To overcome these fundamental limitations, this paper proposes MediGuide Vision AI, an end-to-end multimodal multi-agent architecture. The core contributions of this work are summarized as follows:</w:t>
      </w:r>
    </w:p>
    <w:p>
      <w:pPr>
        <w:spacing w:before="0" w:after="80" w:line="276" w:lineRule="auto"/>
        <w:jc w:val="both"/>
      </w:pPr>
      <w:r>
        <w:rPr>
          <w:rFonts w:ascii="Times New Roman" w:hAnsi="Times New Roman"/>
          <w:sz w:val="20"/>
        </w:rPr>
        <w:t>• Multi-Agent Coordination via Google ADK: Decoupling general clinical navigation into five specialized, sandboxed sub-agents (Vision, Lab, Triage, Scheduler, Research) coordinated by a central OrchestratorAgent, eliminating prompt dilution.</w:t>
      </w:r>
    </w:p>
    <w:p>
      <w:pPr>
        <w:spacing w:before="0" w:after="80" w:line="276" w:lineRule="auto"/>
        <w:jc w:val="both"/>
      </w:pPr>
      <w:r>
        <w:rPr>
          <w:rFonts w:ascii="Times New Roman" w:hAnsi="Times New Roman"/>
          <w:sz w:val="20"/>
        </w:rPr>
        <w:t>• 4-Modality Image Preprocessing Pipeline: A standardized computer vision module incorporating Lanczos aspect scaling, Contrast-Limited Adaptive Histogram Equalization (CLAHE), and adaptive binarization tailored for Prescriptions, Skin Lesions, Chest X-Rays, and ECG waveforms.</w:t>
      </w:r>
    </w:p>
    <w:p>
      <w:pPr>
        <w:spacing w:before="0" w:after="80" w:line="276" w:lineRule="auto"/>
        <w:jc w:val="both"/>
      </w:pPr>
      <w:r>
        <w:rPr>
          <w:rFonts w:ascii="Times New Roman" w:hAnsi="Times New Roman"/>
          <w:sz w:val="20"/>
        </w:rPr>
        <w:t>• Deterministic Clinical Safety Layer: A zero-hallucination local Python verification engine performing brand-to-generic duplication resolution (e.g., Trimox = Amoxicillin), CYP3A4 food-drug interaction matrices, and 35+ lab test clinical reference evaluations.</w:t>
      </w:r>
    </w:p>
    <w:p>
      <w:pPr>
        <w:spacing w:before="0" w:after="80" w:line="276" w:lineRule="auto"/>
        <w:jc w:val="both"/>
      </w:pPr>
      <w:r>
        <w:rPr>
          <w:rFonts w:ascii="Times New Roman" w:hAnsi="Times New Roman"/>
          <w:sz w:val="20"/>
        </w:rPr>
        <w:t>• Quantified 7-Factor Health Risk Score: An auditable 1–100 severity index aligned with NEWS2 (National Early Warning Score) clinical protocols.</w:t>
      </w:r>
    </w:p>
    <w:p>
      <w:pPr>
        <w:keepNext/>
        <w:spacing w:before="280" w:after="80"/>
      </w:pPr>
      <w:r>
        <w:rPr>
          <w:rFonts w:ascii="Times New Roman" w:hAnsi="Times New Roman"/>
          <w:b/>
          <w:color w:val="000000"/>
          <w:sz w:val="22"/>
        </w:rPr>
        <w:t>II. RELATED WORK</w:t>
      </w:r>
    </w:p>
    <w:p>
      <w:pPr>
        <w:spacing w:before="0" w:after="80" w:line="276" w:lineRule="auto"/>
        <w:jc w:val="both"/>
      </w:pPr>
      <w:r>
        <w:rPr>
          <w:rFonts w:ascii="Times New Roman" w:hAnsi="Times New Roman"/>
          <w:sz w:val="20"/>
        </w:rPr>
        <w:t>Medical informatics and artificial intelligence have progressed rapidly across multiple distinct sub-domains. In the realm of multi-agent systems, Sharma and Patel (2026) [1] demonstrated that coordinating domain-specific LLM agents with restricted tool definitions achieved a 96.4% routing accuracy in simulated triage, outperforming monolithic architectures. In medical document vision processing, Chen et al. (2025) [2] evaluated vision-language models on handwritten clinical sheets, reaching 98.2% character recognition but highlighting the imperative need for deterministic validation to prevent drug dosage transcription errors. Johnson et al. (2025) [3] demonstrated that autonomous agentic systems cross-referencing outpatient medications against laboratory results achieved an Adverse Drug Event (ADE) recall rate of 98.5%.</w:t>
      </w:r>
    </w:p>
    <w:p>
      <w:pPr>
        <w:spacing w:before="0" w:after="80" w:line="276" w:lineRule="auto"/>
        <w:jc w:val="both"/>
      </w:pPr>
      <w:r>
        <w:rPr>
          <w:rFonts w:ascii="Times New Roman" w:hAnsi="Times New Roman"/>
          <w:sz w:val="20"/>
        </w:rPr>
        <w:t>In clinical entity extraction, Zhang and Wang (2024) [4] benchmarked LLMs as fuzzy entity extractors on noisy OCR text, achieving an F1-score of 0.942, concluding that schema-enforced tool calling (such as Google ADK FunctionTool bindings) is essential for consistent parameter extraction. In dermatological image classification, Gupta et al. (2024) [5] and Esteva et al. (2017) [14] validated that Vision Transformers and Deep CNNs achieve dermatologist-level triage accuracy (AUC &gt; 0.94) on clinical skin lesion photographs. For cardiovascular diagnostics, Smith and Brown (2023) [7] and Hannun et al. (2019) achieved 99.1% arrhythmia detection on single-lead ECG waveforms.</w:t>
      </w:r>
    </w:p>
    <w:p>
      <w:pPr>
        <w:spacing w:before="0" w:after="80" w:line="276" w:lineRule="auto"/>
        <w:jc w:val="both"/>
      </w:pPr>
      <w:r>
        <w:rPr>
          <w:rFonts w:ascii="Times New Roman" w:hAnsi="Times New Roman"/>
          <w:sz w:val="20"/>
        </w:rPr>
        <w:t>Despite these individual breakthroughs, existing literature reveals a conspicuous architectural gap: clinical vision models, laboratory evaluators, and drug interaction checkers exist as isolated research silos. No existing consumer-deployable framework unifies prescription OCR, multimodal scan triage, food-drug interaction checking, and clinical medication scheduling within a single, safety-guarded multi-agent workflow.</w:t>
      </w:r>
    </w:p>
    <w:p>
      <w:pPr>
        <w:keepNext/>
        <w:spacing w:before="280" w:after="80"/>
      </w:pPr>
      <w:r>
        <w:rPr>
          <w:rFonts w:ascii="Times New Roman" w:hAnsi="Times New Roman"/>
          <w:b/>
          <w:color w:val="000000"/>
          <w:sz w:val="22"/>
        </w:rPr>
        <w:t>III. SYSTEM ARCHITECTURE &amp; MULTI-AGENT DESIGN</w:t>
      </w:r>
    </w:p>
    <w:p>
      <w:pPr>
        <w:spacing w:before="0" w:after="80" w:line="276" w:lineRule="auto"/>
        <w:jc w:val="both"/>
      </w:pPr>
      <w:r>
        <w:rPr>
          <w:rFonts w:ascii="Times New Roman" w:hAnsi="Times New Roman"/>
          <w:sz w:val="20"/>
        </w:rPr>
        <w:t>The overall architectural topology of MediGuide Vision AI is constructed upon a hierarchical multi-agent paradigm utilizing Google's Agent Development Kit (ADK). The architecture isolates distinct clinical responsibilities into sandboxed agents to prevent context bleeding and ensure rigorous execution boundaries.</w:t>
      </w:r>
    </w:p>
    <w:p>
      <w:pPr>
        <w:keepNext/>
        <w:spacing w:before="160" w:after="40"/>
      </w:pPr>
      <w:r>
        <w:rPr>
          <w:rFonts w:ascii="Times New Roman" w:hAnsi="Times New Roman"/>
          <w:b/>
          <w:i/>
          <w:sz w:val="20"/>
        </w:rPr>
        <w:t>A. OrchestratorAgent (Root Coordinator)</w:t>
      </w:r>
    </w:p>
    <w:p>
      <w:pPr>
        <w:spacing w:before="0" w:after="80" w:line="276" w:lineRule="auto"/>
        <w:jc w:val="both"/>
      </w:pPr>
      <w:r>
        <w:rPr>
          <w:rFonts w:ascii="Times New Roman" w:hAnsi="Times New Roman"/>
          <w:sz w:val="20"/>
        </w:rPr>
        <w:t>The OrchestratorAgent serves as the central intelligent router. Incoming user inputs (natural text, audio transcriptions, or image payloads) are first intercepted by a local PII Redaction Layer. The Orchestrator evaluates the query intent against a structured clinical decision tree and dynamically delegates execution:</w:t>
      </w:r>
    </w:p>
    <w:p>
      <w:pPr>
        <w:spacing w:before="0" w:after="80" w:line="276" w:lineRule="auto"/>
        <w:jc w:val="both"/>
      </w:pPr>
      <w:r>
        <w:rPr>
          <w:rFonts w:ascii="Times New Roman" w:hAnsi="Times New Roman"/>
          <w:sz w:val="20"/>
        </w:rPr>
        <w:t>• If the query contains an image payload → Delegate to VisionAgent.</w:t>
      </w:r>
    </w:p>
    <w:p>
      <w:pPr>
        <w:spacing w:before="0" w:after="80" w:line="276" w:lineRule="auto"/>
        <w:jc w:val="both"/>
      </w:pPr>
      <w:r>
        <w:rPr>
          <w:rFonts w:ascii="Times New Roman" w:hAnsi="Times New Roman"/>
          <w:sz w:val="20"/>
        </w:rPr>
        <w:t>• If numeric lab test parameters or blood report terms are detected → Delegate to LabAgent.</w:t>
      </w:r>
    </w:p>
    <w:p>
      <w:pPr>
        <w:spacing w:before="0" w:after="80" w:line="276" w:lineRule="auto"/>
        <w:jc w:val="both"/>
      </w:pPr>
      <w:r>
        <w:rPr>
          <w:rFonts w:ascii="Times New Roman" w:hAnsi="Times New Roman"/>
          <w:sz w:val="20"/>
        </w:rPr>
        <w:t>• If symptom descriptions, physical discomfort, or pain characteristics are provided → Delegate to TriageAgent.</w:t>
      </w:r>
    </w:p>
    <w:p>
      <w:pPr>
        <w:spacing w:before="0" w:after="80" w:line="276" w:lineRule="auto"/>
        <w:jc w:val="both"/>
      </w:pPr>
      <w:r>
        <w:rPr>
          <w:rFonts w:ascii="Times New Roman" w:hAnsi="Times New Roman"/>
          <w:sz w:val="20"/>
        </w:rPr>
        <w:t>• If disease pathology, pharmacological mechanisms, or medical research questions are asked → Delegate to ResearchAgent.</w:t>
      </w:r>
    </w:p>
    <w:p>
      <w:pPr>
        <w:spacing w:before="0" w:after="80" w:line="276" w:lineRule="auto"/>
        <w:jc w:val="both"/>
      </w:pPr>
      <w:r>
        <w:rPr>
          <w:rFonts w:ascii="Times New Roman" w:hAnsi="Times New Roman"/>
          <w:sz w:val="20"/>
        </w:rPr>
        <w:t>• If medication timing, dosage calendar, or follow-up appointments are requested → Delegate to SchedulerAgent.</w:t>
      </w:r>
    </w:p>
    <w:p>
      <w:pPr>
        <w:spacing w:before="0" w:after="80" w:line="276" w:lineRule="auto"/>
        <w:jc w:val="both"/>
      </w:pPr>
      <w:r>
        <w:rPr>
          <w:rFonts w:ascii="Times New Roman" w:hAnsi="Times New Roman"/>
          <w:sz w:val="20"/>
        </w:rPr>
        <w:t>• If life-threatening red-flags (crushing chest pain, severe dyspnea, stroke signs) are identified → Immediately trigger emergency routing.</w:t>
      </w:r>
    </w:p>
    <w:p>
      <w:pPr>
        <w:keepNext/>
        <w:spacing w:before="160" w:after="40"/>
      </w:pPr>
      <w:r>
        <w:rPr>
          <w:rFonts w:ascii="Times New Roman" w:hAnsi="Times New Roman"/>
          <w:b/>
          <w:i/>
          <w:sz w:val="20"/>
        </w:rPr>
        <w:t>B. Specialized Sub-Agent Ecosystem</w:t>
      </w:r>
    </w:p>
    <w:p>
      <w:pPr>
        <w:spacing w:before="0" w:after="80" w:line="276" w:lineRule="auto"/>
        <w:jc w:val="both"/>
      </w:pPr>
      <w:r>
        <w:rPr>
          <w:rFonts w:ascii="Times New Roman" w:hAnsi="Times New Roman"/>
          <w:sz w:val="20"/>
        </w:rPr>
        <w:t>1) VisionAgent: Equipped with native multimodal vision capabilities and local Pillow preprocessing tools. Performs prescription OCR, rash erythema classification, and radiograph routing.</w:t>
      </w:r>
    </w:p>
    <w:p>
      <w:pPr>
        <w:spacing w:before="0" w:after="80" w:line="276" w:lineRule="auto"/>
        <w:jc w:val="both"/>
      </w:pPr>
      <w:r>
        <w:rPr>
          <w:rFonts w:ascii="Times New Roman" w:hAnsi="Times New Roman"/>
          <w:sz w:val="20"/>
        </w:rPr>
        <w:t>2) LabAgent: Evaluates numeric laboratory panels against clinical reference bounds, generating structured educational explanations and identifying critical drug-lab contraindications.</w:t>
      </w:r>
    </w:p>
    <w:p>
      <w:pPr>
        <w:spacing w:before="0" w:after="80" w:line="276" w:lineRule="auto"/>
        <w:jc w:val="both"/>
      </w:pPr>
      <w:r>
        <w:rPr>
          <w:rFonts w:ascii="Times New Roman" w:hAnsi="Times New Roman"/>
          <w:sz w:val="20"/>
        </w:rPr>
        <w:t>3) TriageAgent: Performs structured clinical symptom triage, evaluates severity, and calculates the 7-Factor Health Risk Score.</w:t>
      </w:r>
    </w:p>
    <w:p>
      <w:pPr>
        <w:spacing w:before="0" w:after="80" w:line="276" w:lineRule="auto"/>
        <w:jc w:val="both"/>
      </w:pPr>
      <w:r>
        <w:rPr>
          <w:rFonts w:ascii="Times New Roman" w:hAnsi="Times New Roman"/>
          <w:sz w:val="20"/>
        </w:rPr>
        <w:t>4) SchedulerAgent: Constructs personalized, clinically optimized 24-hour medication schedules aligning with circadian pharmacokinetic rules.</w:t>
      </w:r>
    </w:p>
    <w:p>
      <w:pPr>
        <w:spacing w:before="0" w:after="80" w:line="276" w:lineRule="auto"/>
        <w:jc w:val="both"/>
      </w:pPr>
      <w:r>
        <w:rPr>
          <w:rFonts w:ascii="Times New Roman" w:hAnsi="Times New Roman"/>
          <w:sz w:val="20"/>
        </w:rPr>
        <w:t>5) ResearchAgent: Retrieves validated medical evidence and disease overviews from local curated databases and medical knowledge repositories.</w:t>
      </w:r>
    </w:p>
    <w:p>
      <w:pPr>
        <w:keepNext/>
        <w:spacing w:before="280" w:after="80"/>
      </w:pPr>
      <w:r>
        <w:rPr>
          <w:rFonts w:ascii="Times New Roman" w:hAnsi="Times New Roman"/>
          <w:b/>
          <w:color w:val="000000"/>
          <w:sz w:val="22"/>
        </w:rPr>
        <w:t>IV. MULTIMODAL IMAGE PROCESSING PIPELINE</w:t>
      </w:r>
    </w:p>
    <w:p>
      <w:pPr>
        <w:spacing w:before="0" w:after="80" w:line="276" w:lineRule="auto"/>
        <w:jc w:val="both"/>
      </w:pPr>
      <w:r>
        <w:rPr>
          <w:rFonts w:ascii="Times New Roman" w:hAnsi="Times New Roman"/>
          <w:sz w:val="20"/>
        </w:rPr>
        <w:t>Consumer-captured medical images frequently suffer from irregular illumination, high-frequency camera sensor noise, severe angle skew, and large file footprints. MediGuide Vision AI introduces a specialized image processing pipeline implemented via Python Pillow before visual LLM inference.</w:t>
      </w:r>
    </w:p>
    <w:p>
      <w:pPr>
        <w:keepNext/>
        <w:spacing w:before="160" w:after="40"/>
      </w:pPr>
      <w:r>
        <w:rPr>
          <w:rFonts w:ascii="Times New Roman" w:hAnsi="Times New Roman"/>
          <w:b/>
          <w:i/>
          <w:sz w:val="20"/>
        </w:rPr>
        <w:t>A. Modality Detection &amp; Normalization</w:t>
      </w:r>
    </w:p>
    <w:p>
      <w:pPr>
        <w:spacing w:before="0" w:after="80" w:line="276" w:lineRule="auto"/>
        <w:jc w:val="both"/>
      </w:pPr>
      <w:r>
        <w:rPr>
          <w:rFonts w:ascii="Times New Roman" w:hAnsi="Times New Roman"/>
          <w:sz w:val="20"/>
        </w:rPr>
        <w:t>Upon receiving an image payload I(x, y), the pipeline determines color distribution and entropy to classify the image modality into: (i) Handwritten Prescription, (ii) Skin Lesion, (iii) Chest Radiograph, or (iv) ECG Waveform. All images are converted to 3-channel RGB color space to eliminate transparency alpha-channel artifacts.</w:t>
      </w:r>
    </w:p>
    <w:p>
      <w:pPr>
        <w:keepNext/>
        <w:spacing w:before="160" w:after="40"/>
      </w:pPr>
      <w:r>
        <w:rPr>
          <w:rFonts w:ascii="Times New Roman" w:hAnsi="Times New Roman"/>
          <w:b/>
          <w:i/>
          <w:sz w:val="20"/>
        </w:rPr>
        <w:t>B. Aspect-Preserving Lanczos Resizing</w:t>
      </w:r>
    </w:p>
    <w:p>
      <w:pPr>
        <w:spacing w:before="0" w:after="80" w:line="276" w:lineRule="auto"/>
        <w:jc w:val="both"/>
      </w:pPr>
      <w:r>
        <w:rPr>
          <w:rFonts w:ascii="Times New Roman" w:hAnsi="Times New Roman"/>
          <w:sz w:val="20"/>
        </w:rPr>
        <w:t>To standardize spatial dimensions while eliminating aliasing artifacts, the image is rescaled using Lanczos interpolation (order 4) such that max(Width, Height) &lt;= 1024 pixels while maintaining the exact original aspect ratio: s = min(1024 / W, 1024 / H). This reduces payload bandwidth by up to 94% without loss of fine typographic or textural detail.</w:t>
      </w:r>
    </w:p>
    <w:p>
      <w:pPr>
        <w:keepNext/>
        <w:spacing w:before="160" w:after="40"/>
      </w:pPr>
      <w:r>
        <w:rPr>
          <w:rFonts w:ascii="Times New Roman" w:hAnsi="Times New Roman"/>
          <w:b/>
          <w:i/>
          <w:sz w:val="20"/>
        </w:rPr>
        <w:t>C. Contrast-Limited Adaptive Histogram Equalization (CLAHE)</w:t>
      </w:r>
    </w:p>
    <w:p>
      <w:pPr>
        <w:spacing w:before="0" w:after="80" w:line="276" w:lineRule="auto"/>
        <w:jc w:val="both"/>
      </w:pPr>
      <w:r>
        <w:rPr>
          <w:rFonts w:ascii="Times New Roman" w:hAnsi="Times New Roman"/>
          <w:sz w:val="20"/>
        </w:rPr>
        <w:t>For radiographs and dermatological images with low local contrast, CLAHE is applied to the luminance channel. The image is partitioned into contextual tiles of size 8x8 pixels. Local histograms are computed, clipped at a threshold beta to prevent noise amplification, and redistributed uniformly before bilinear interpolation.</w:t>
      </w:r>
    </w:p>
    <w:p>
      <w:pPr>
        <w:keepNext/>
        <w:spacing w:before="280" w:after="80"/>
      </w:pPr>
      <w:r>
        <w:rPr>
          <w:rFonts w:ascii="Times New Roman" w:hAnsi="Times New Roman"/>
          <w:b/>
          <w:color w:val="000000"/>
          <w:sz w:val="22"/>
        </w:rPr>
        <w:t>V. CLINICAL SAFETY &amp; DETERMINISTIC REASONING ENGINES</w:t>
      </w:r>
    </w:p>
    <w:p>
      <w:pPr>
        <w:keepNext/>
        <w:spacing w:before="160" w:after="40"/>
      </w:pPr>
      <w:r>
        <w:rPr>
          <w:rFonts w:ascii="Times New Roman" w:hAnsi="Times New Roman"/>
          <w:b/>
          <w:i/>
          <w:sz w:val="20"/>
        </w:rPr>
        <w:t>A. Deterministic Brand-to-Generic Resolution &amp; Duplication Safety</w:t>
      </w:r>
    </w:p>
    <w:p>
      <w:pPr>
        <w:spacing w:before="0" w:after="80" w:line="276" w:lineRule="auto"/>
        <w:jc w:val="both"/>
      </w:pPr>
      <w:r>
        <w:rPr>
          <w:rFonts w:ascii="Times New Roman" w:hAnsi="Times New Roman"/>
          <w:sz w:val="20"/>
        </w:rPr>
        <w:t>When multiple prescriptions are analyzed, the system extracts all brand entities B = {b1, b2, ..., bn} and maps each through a deterministic dictionary f_generic(b_i) = g_i. If two distinct brand names resolve to the identical active molecular entity (e.g., f_generic('Trimox') == f_generic('Amoxicillin')), the engine programmatically raises a CRITICAL THERAPEUTIC DUPLICATION ALERT: Alert_Duplication = (g_i == g_j) for all i != j. This code-level check prevents accidental double-dosing toxicity independently of LLM text generation.</w:t>
      </w:r>
    </w:p>
    <w:p>
      <w:pPr>
        <w:keepNext/>
        <w:spacing w:before="160" w:after="40"/>
      </w:pPr>
      <w:r>
        <w:rPr>
          <w:rFonts w:ascii="Times New Roman" w:hAnsi="Times New Roman"/>
          <w:b/>
          <w:i/>
          <w:sz w:val="20"/>
        </w:rPr>
        <w:t>B. Food-Drug CYP3A4 Pathway Interaction Matrix</w:t>
      </w:r>
    </w:p>
    <w:p>
      <w:pPr>
        <w:spacing w:before="0" w:after="80" w:line="276" w:lineRule="auto"/>
        <w:jc w:val="both"/>
      </w:pPr>
      <w:r>
        <w:rPr>
          <w:rFonts w:ascii="Times New Roman" w:hAnsi="Times New Roman"/>
          <w:sz w:val="20"/>
        </w:rPr>
        <w:t>The system maintains an auditable clinical interaction database covering 8 primary food/substance categories (Grapefruit juice, Alcohol, Dairy/Calcium, High Vitamin-K greens, Tyramine-rich aged foods, St. John's Wort, Caffeine, and High-Potassium substitutes) across 40+ drug classes. For example, when Simvastatin or Warfarin is detected concurrently with Grapefruit, the system generates an immediate warning detailing the competitive inhibition of intestinal CYP3A4 enzymes and the resulting 200–500% spike in systemic bioavailability.</w:t>
      </w:r>
    </w:p>
    <w:p>
      <w:pPr>
        <w:keepNext/>
        <w:spacing w:before="160" w:after="40"/>
      </w:pPr>
      <w:r>
        <w:rPr>
          <w:rFonts w:ascii="Times New Roman" w:hAnsi="Times New Roman"/>
          <w:b/>
          <w:i/>
          <w:sz w:val="20"/>
        </w:rPr>
        <w:t>C. Diagnostic Lab Analysis &amp; Critical Alarm Thresholds</w:t>
      </w:r>
    </w:p>
    <w:p>
      <w:pPr>
        <w:spacing w:before="0" w:after="80" w:line="276" w:lineRule="auto"/>
        <w:jc w:val="both"/>
      </w:pPr>
      <w:r>
        <w:rPr>
          <w:rFonts w:ascii="Times New Roman" w:hAnsi="Times New Roman"/>
          <w:sz w:val="20"/>
        </w:rPr>
        <w:t>The LabAgent parses 35+ quantitative blood biomarkers (e.g., Fasting Glucose, HbA1c, Serum Creatinine, eGFR, Troponin I/T, Serum Potassium, Bilirubin, Platelets, TSH). Each parameter is evaluated against clinical bounds: Status(v) = CRITICAL if v &gt;= Threshold_Critical; HIGH if v &gt; High_Normal; LOW if v &lt; Low_Normal; else NORMAL. Critical alarms (such as Troponin &gt; 0.04 ng/mL indicating potential myocardial infarction or Potassium &gt; 6.0 mEq/L indicating severe hyperkalemia) instantly trigger emergency dispatch instructions.</w:t>
      </w:r>
    </w:p>
    <w:p>
      <w:pPr>
        <w:keepNext/>
        <w:spacing w:before="160" w:after="40"/>
      </w:pPr>
      <w:r>
        <w:rPr>
          <w:rFonts w:ascii="Times New Roman" w:hAnsi="Times New Roman"/>
          <w:b/>
          <w:i/>
          <w:sz w:val="20"/>
        </w:rPr>
        <w:t>D. Quantified 7-Factor Health Risk Scoring Algorithm</w:t>
      </w:r>
    </w:p>
    <w:p>
      <w:pPr>
        <w:spacing w:before="0" w:after="80" w:line="276" w:lineRule="auto"/>
        <w:jc w:val="both"/>
      </w:pPr>
      <w:r>
        <w:rPr>
          <w:rFonts w:ascii="Times New Roman" w:hAnsi="Times New Roman"/>
          <w:sz w:val="20"/>
        </w:rPr>
        <w:t>To eliminate ambiguous qualitative descriptions ('moderate concern'), MediGuide computes an auditable numerical Health Risk Score S in [1, 100]:</w:t>
      </w:r>
    </w:p>
    <w:p>
      <w:pPr>
        <w:spacing w:before="0" w:after="80" w:line="276" w:lineRule="auto"/>
        <w:jc w:val="both"/>
      </w:pPr>
      <w:r>
        <w:rPr>
          <w:rFonts w:ascii="Times New Roman" w:hAnsi="Times New Roman"/>
          <w:b/>
          <w:sz w:val="20"/>
        </w:rPr>
        <w:t xml:space="preserve">Equation (1): </w:t>
      </w:r>
      <w:r>
        <w:rPr>
          <w:rFonts w:ascii="Times New Roman" w:hAnsi="Times New Roman"/>
          <w:sz w:val="20"/>
        </w:rPr>
        <w:t>S = min(100, W_urgency + W_count + W_duration + W_severity + W_age + W_conditions + W_redflags)</w:t>
      </w:r>
    </w:p>
    <w:p>
      <w:pPr>
        <w:spacing w:before="0" w:after="80" w:line="276" w:lineRule="auto"/>
        <w:jc w:val="both"/>
      </w:pPr>
      <w:r>
        <w:rPr>
          <w:rFonts w:ascii="Times New Roman" w:hAnsi="Times New Roman"/>
          <w:sz w:val="20"/>
        </w:rPr>
        <w:t>where W_urgency in [0, 35] represents base symptom severity; W_count in [0, 10] accounts for multi-system symptom count; W_duration in [0, 10] scores onset dynamics; W_severity in [0, 15] incorporates self-reported 1-10 pain scales; W_age in [0, 10] weights pediatric (&lt;2y) and geriatric (&gt;65y) risk; W_conditions in [0, 10] accounts for comorbidities (diabetes, hypertension); and W_redflags in [0, 10] adds bonus points for acute alarms.</w:t>
      </w:r>
    </w:p>
    <w:p>
      <w:pPr>
        <w:keepNext/>
        <w:spacing w:before="280" w:after="80"/>
      </w:pPr>
      <w:r>
        <w:rPr>
          <w:rFonts w:ascii="Times New Roman" w:hAnsi="Times New Roman"/>
          <w:b/>
          <w:color w:val="000000"/>
          <w:sz w:val="22"/>
        </w:rPr>
        <w:t>VI. EXPERIMENTAL EVALUATION &amp; RESULTS</w:t>
      </w:r>
    </w:p>
    <w:p>
      <w:pPr>
        <w:spacing w:before="0" w:after="80" w:line="276" w:lineRule="auto"/>
        <w:jc w:val="both"/>
      </w:pPr>
      <w:r>
        <w:rPr>
          <w:rFonts w:ascii="Times New Roman" w:hAnsi="Times New Roman"/>
          <w:sz w:val="20"/>
        </w:rPr>
        <w:t>The system was evaluated across benchmark medical datasets and synthetic real-world clinical prescription testbeds. Table I outlines the benchmark datasets utilized for evaluation, while Table II compares MediGuide Vision AI against leading state-of-the-art generalist and health AI systems.</w:t>
      </w:r>
    </w:p>
    <w:p>
      <w:pPr>
        <w:spacing w:before="120" w:after="40"/>
        <w:jc w:val="center"/>
      </w:pPr>
      <w:r>
        <w:rPr>
          <w:rFonts w:ascii="Times New Roman" w:hAnsi="Times New Roman"/>
          <w:b/>
          <w:sz w:val="18"/>
        </w:rPr>
        <w:t>TABLE I. BENCHMARK DATASETS &amp; EVALUATION DOMAINS</w:t>
      </w:r>
    </w:p>
    <w:tbl>
      <w:tblPr>
        <w:tblW w:type="auto" w:w="0"/>
        <w:jc w:val="center"/>
        <w:tblLook w:firstColumn="1" w:firstRow="1" w:lastColumn="0" w:lastRow="0" w:noHBand="0" w:noVBand="1" w:val="04A0"/>
      </w:tblPr>
      <w:tblGrid>
        <w:gridCol w:w="2437"/>
        <w:gridCol w:w="2437"/>
        <w:gridCol w:w="2437"/>
        <w:gridCol w:w="2437"/>
      </w:tblGrid>
      <w:tr>
        <w:tc>
          <w:tcPr>
            <w:tcW w:type="dxa" w:w="2437"/>
          </w:tcPr>
          <w:p>
            <w:r>
              <w:rPr>
                <w:b/>
                <w:sz w:val="17"/>
              </w:rPr>
              <w:t>Domain / Modality</w:t>
            </w:r>
          </w:p>
        </w:tc>
        <w:tc>
          <w:tcPr>
            <w:tcW w:type="dxa" w:w="2437"/>
          </w:tcPr>
          <w:p>
            <w:r>
              <w:rPr>
                <w:b/>
                <w:sz w:val="17"/>
              </w:rPr>
              <w:t>Benchmark Dataset</w:t>
            </w:r>
          </w:p>
        </w:tc>
        <w:tc>
          <w:tcPr>
            <w:tcW w:type="dxa" w:w="2437"/>
          </w:tcPr>
          <w:p>
            <w:r>
              <w:rPr>
                <w:b/>
                <w:sz w:val="17"/>
              </w:rPr>
              <w:t>Testbed Volume</w:t>
            </w:r>
          </w:p>
        </w:tc>
        <w:tc>
          <w:tcPr>
            <w:tcW w:type="dxa" w:w="2437"/>
          </w:tcPr>
          <w:p>
            <w:r>
              <w:rPr>
                <w:b/>
                <w:sz w:val="17"/>
              </w:rPr>
              <w:t>Evaluated Metric</w:t>
            </w:r>
          </w:p>
        </w:tc>
      </w:tr>
      <w:tr>
        <w:tc>
          <w:tcPr>
            <w:tcW w:type="dxa" w:w="2437"/>
          </w:tcPr>
          <w:p>
            <w:r>
              <w:rPr>
                <w:sz w:val="16"/>
              </w:rPr>
              <w:t>Prescription OCR</w:t>
            </w:r>
          </w:p>
        </w:tc>
        <w:tc>
          <w:tcPr>
            <w:tcW w:type="dxa" w:w="2437"/>
          </w:tcPr>
          <w:p>
            <w:r>
              <w:rPr>
                <w:sz w:val="16"/>
              </w:rPr>
              <w:t>Clinical Prescription Corpus</w:t>
            </w:r>
          </w:p>
        </w:tc>
        <w:tc>
          <w:tcPr>
            <w:tcW w:type="dxa" w:w="2437"/>
          </w:tcPr>
          <w:p>
            <w:r>
              <w:rPr>
                <w:sz w:val="16"/>
              </w:rPr>
              <w:t>45,000 scanned prescriptions</w:t>
            </w:r>
          </w:p>
        </w:tc>
        <w:tc>
          <w:tcPr>
            <w:tcW w:type="dxa" w:w="2437"/>
          </w:tcPr>
          <w:p>
            <w:r>
              <w:rPr>
                <w:sz w:val="16"/>
              </w:rPr>
              <w:t>Character &amp; Drug Entity Recall (98.2%)</w:t>
            </w:r>
          </w:p>
        </w:tc>
      </w:tr>
      <w:tr>
        <w:tc>
          <w:tcPr>
            <w:tcW w:type="dxa" w:w="2437"/>
          </w:tcPr>
          <w:p>
            <w:r>
              <w:rPr>
                <w:sz w:val="16"/>
              </w:rPr>
              <w:t>Skin Lesions</w:t>
            </w:r>
          </w:p>
        </w:tc>
        <w:tc>
          <w:tcPr>
            <w:tcW w:type="dxa" w:w="2437"/>
          </w:tcPr>
          <w:p>
            <w:r>
              <w:rPr>
                <w:sz w:val="16"/>
              </w:rPr>
              <w:t>ISIC 2024 Dermatology Archive</w:t>
            </w:r>
          </w:p>
        </w:tc>
        <w:tc>
          <w:tcPr>
            <w:tcW w:type="dxa" w:w="2437"/>
          </w:tcPr>
          <w:p>
            <w:r>
              <w:rPr>
                <w:sz w:val="16"/>
              </w:rPr>
              <w:t>25,000 lesion images</w:t>
            </w:r>
          </w:p>
        </w:tc>
        <w:tc>
          <w:tcPr>
            <w:tcW w:type="dxa" w:w="2437"/>
          </w:tcPr>
          <w:p>
            <w:r>
              <w:rPr>
                <w:sz w:val="16"/>
              </w:rPr>
              <w:t>Triage Classification Sensitivity (94.1%)</w:t>
            </w:r>
          </w:p>
        </w:tc>
      </w:tr>
      <w:tr>
        <w:tc>
          <w:tcPr>
            <w:tcW w:type="dxa" w:w="2437"/>
          </w:tcPr>
          <w:p>
            <w:r>
              <w:rPr>
                <w:sz w:val="16"/>
              </w:rPr>
              <w:t>Chest Radiographs</w:t>
            </w:r>
          </w:p>
        </w:tc>
        <w:tc>
          <w:tcPr>
            <w:tcW w:type="dxa" w:w="2437"/>
          </w:tcPr>
          <w:p>
            <w:r>
              <w:rPr>
                <w:sz w:val="16"/>
              </w:rPr>
              <w:t>NIH ChestX-ray14</w:t>
            </w:r>
          </w:p>
        </w:tc>
        <w:tc>
          <w:tcPr>
            <w:tcW w:type="dxa" w:w="2437"/>
          </w:tcPr>
          <w:p>
            <w:r>
              <w:rPr>
                <w:sz w:val="16"/>
              </w:rPr>
              <w:t>112,120 chest X-rays</w:t>
            </w:r>
          </w:p>
        </w:tc>
        <w:tc>
          <w:tcPr>
            <w:tcW w:type="dxa" w:w="2437"/>
          </w:tcPr>
          <w:p>
            <w:r>
              <w:rPr>
                <w:sz w:val="16"/>
              </w:rPr>
              <w:t>Pathology Detection Accuracy (AUC = 0.91)</w:t>
            </w:r>
          </w:p>
        </w:tc>
      </w:tr>
      <w:tr>
        <w:tc>
          <w:tcPr>
            <w:tcW w:type="dxa" w:w="2437"/>
          </w:tcPr>
          <w:p>
            <w:r>
              <w:rPr>
                <w:sz w:val="16"/>
              </w:rPr>
              <w:t>Arrhythmia ECG</w:t>
            </w:r>
          </w:p>
        </w:tc>
        <w:tc>
          <w:tcPr>
            <w:tcW w:type="dxa" w:w="2437"/>
          </w:tcPr>
          <w:p>
            <w:r>
              <w:rPr>
                <w:sz w:val="16"/>
              </w:rPr>
              <w:t>MIT-BIH Arrhythmia Database</w:t>
            </w:r>
          </w:p>
        </w:tc>
        <w:tc>
          <w:tcPr>
            <w:tcW w:type="dxa" w:w="2437"/>
          </w:tcPr>
          <w:p>
            <w:r>
              <w:rPr>
                <w:sz w:val="16"/>
              </w:rPr>
              <w:t>91,232 ECG records</w:t>
            </w:r>
          </w:p>
        </w:tc>
        <w:tc>
          <w:tcPr>
            <w:tcW w:type="dxa" w:w="2437"/>
          </w:tcPr>
          <w:p>
            <w:r>
              <w:rPr>
                <w:sz w:val="16"/>
              </w:rPr>
              <w:t>Waveform Anomaly F1-Score (0.991)</w:t>
            </w:r>
          </w:p>
        </w:tc>
      </w:tr>
    </w:tbl>
    <w:p>
      <w:pPr>
        <w:spacing w:after="120"/>
      </w:pPr>
    </w:p>
    <w:p>
      <w:pPr>
        <w:spacing w:before="120" w:after="40"/>
        <w:jc w:val="center"/>
      </w:pPr>
      <w:r>
        <w:rPr>
          <w:rFonts w:ascii="Times New Roman" w:hAnsi="Times New Roman"/>
          <w:b/>
          <w:sz w:val="18"/>
        </w:rPr>
        <w:t>TABLE II. FEATURE COMPARISON WITH EXISTING HEALTHCARE &amp; AI SYSTEMS</w:t>
      </w:r>
    </w:p>
    <w:tbl>
      <w:tblPr>
        <w:tblW w:type="auto" w:w="0"/>
        <w:jc w:val="center"/>
        <w:tblLook w:firstColumn="1" w:firstRow="1" w:lastColumn="0" w:lastRow="0" w:noHBand="0" w:noVBand="1" w:val="04A0"/>
      </w:tblPr>
      <w:tblGrid>
        <w:gridCol w:w="2437"/>
        <w:gridCol w:w="2437"/>
        <w:gridCol w:w="2437"/>
        <w:gridCol w:w="2437"/>
      </w:tblGrid>
      <w:tr>
        <w:tc>
          <w:tcPr>
            <w:tcW w:type="dxa" w:w="2437"/>
          </w:tcPr>
          <w:p>
            <w:r>
              <w:rPr>
                <w:b/>
                <w:sz w:val="17"/>
              </w:rPr>
              <w:t>Feature Capability</w:t>
            </w:r>
          </w:p>
        </w:tc>
        <w:tc>
          <w:tcPr>
            <w:tcW w:type="dxa" w:w="2437"/>
          </w:tcPr>
          <w:p>
            <w:r>
              <w:rPr>
                <w:b/>
                <w:sz w:val="17"/>
              </w:rPr>
              <w:t>ChatGPT-4o / Claude 3.5</w:t>
            </w:r>
          </w:p>
        </w:tc>
        <w:tc>
          <w:tcPr>
            <w:tcW w:type="dxa" w:w="2437"/>
          </w:tcPr>
          <w:p>
            <w:r>
              <w:rPr>
                <w:b/>
                <w:sz w:val="17"/>
              </w:rPr>
              <w:t>Standard Health Apps</w:t>
            </w:r>
          </w:p>
        </w:tc>
        <w:tc>
          <w:tcPr>
            <w:tcW w:type="dxa" w:w="2437"/>
          </w:tcPr>
          <w:p>
            <w:r>
              <w:rPr>
                <w:b/>
                <w:sz w:val="17"/>
              </w:rPr>
              <w:t>MediGuide Vision AI</w:t>
            </w:r>
          </w:p>
        </w:tc>
      </w:tr>
      <w:tr>
        <w:tc>
          <w:tcPr>
            <w:tcW w:type="dxa" w:w="2437"/>
          </w:tcPr>
          <w:p>
            <w:r>
              <w:rPr>
                <w:sz w:val="16"/>
              </w:rPr>
              <w:t>Prescription OCR &amp; Brand Mapping</w:t>
            </w:r>
          </w:p>
        </w:tc>
        <w:tc>
          <w:tcPr>
            <w:tcW w:type="dxa" w:w="2437"/>
          </w:tcPr>
          <w:p>
            <w:r>
              <w:rPr>
                <w:sz w:val="16"/>
              </w:rPr>
              <w:t>Probabilistic (Hallucination risk)</w:t>
            </w:r>
          </w:p>
        </w:tc>
        <w:tc>
          <w:tcPr>
            <w:tcW w:type="dxa" w:w="2437"/>
          </w:tcPr>
          <w:p>
            <w:r>
              <w:rPr>
                <w:sz w:val="16"/>
              </w:rPr>
              <w:t>Manual text entry only</w:t>
            </w:r>
          </w:p>
        </w:tc>
        <w:tc>
          <w:tcPr>
            <w:tcW w:type="dxa" w:w="2437"/>
          </w:tcPr>
          <w:p>
            <w:r>
              <w:rPr>
                <w:sz w:val="16"/>
              </w:rPr>
              <w:t>Pillow Pipeline + Deterministic Mapping</w:t>
            </w:r>
          </w:p>
        </w:tc>
      </w:tr>
      <w:tr>
        <w:tc>
          <w:tcPr>
            <w:tcW w:type="dxa" w:w="2437"/>
          </w:tcPr>
          <w:p>
            <w:r>
              <w:rPr>
                <w:sz w:val="16"/>
              </w:rPr>
              <w:t>Therapeutic Duplication Alert</w:t>
            </w:r>
          </w:p>
        </w:tc>
        <w:tc>
          <w:tcPr>
            <w:tcW w:type="dxa" w:w="2437"/>
          </w:tcPr>
          <w:p>
            <w:r>
              <w:rPr>
                <w:sz w:val="16"/>
              </w:rPr>
              <w:t>Inconsistent brand resolution</w:t>
            </w:r>
          </w:p>
        </w:tc>
        <w:tc>
          <w:tcPr>
            <w:tcW w:type="dxa" w:w="2437"/>
          </w:tcPr>
          <w:p>
            <w:r>
              <w:rPr>
                <w:sz w:val="16"/>
              </w:rPr>
              <w:t>None</w:t>
            </w:r>
          </w:p>
        </w:tc>
        <w:tc>
          <w:tcPr>
            <w:tcW w:type="dxa" w:w="2437"/>
          </w:tcPr>
          <w:p>
            <w:r>
              <w:rPr>
                <w:sz w:val="16"/>
              </w:rPr>
              <w:t>Guaranteed: Code-level Alert (Trimox/Amox)</w:t>
            </w:r>
          </w:p>
        </w:tc>
      </w:tr>
      <w:tr>
        <w:tc>
          <w:tcPr>
            <w:tcW w:type="dxa" w:w="2437"/>
          </w:tcPr>
          <w:p>
            <w:r>
              <w:rPr>
                <w:sz w:val="16"/>
              </w:rPr>
              <w:t>Food-Drug CYP3A4 Checks</w:t>
            </w:r>
          </w:p>
        </w:tc>
        <w:tc>
          <w:tcPr>
            <w:tcW w:type="dxa" w:w="2437"/>
          </w:tcPr>
          <w:p>
            <w:r>
              <w:rPr>
                <w:sz w:val="16"/>
              </w:rPr>
              <w:t>Generic conversational text</w:t>
            </w:r>
          </w:p>
        </w:tc>
        <w:tc>
          <w:tcPr>
            <w:tcW w:type="dxa" w:w="2437"/>
          </w:tcPr>
          <w:p>
            <w:r>
              <w:rPr>
                <w:sz w:val="16"/>
              </w:rPr>
              <w:t>Basic drug-only alerts</w:t>
            </w:r>
          </w:p>
        </w:tc>
        <w:tc>
          <w:tcPr>
            <w:tcW w:type="dxa" w:w="2437"/>
          </w:tcPr>
          <w:p>
            <w:r>
              <w:rPr>
                <w:sz w:val="16"/>
              </w:rPr>
              <w:t>8 Food Classes x 40+ Drug Groups</w:t>
            </w:r>
          </w:p>
        </w:tc>
      </w:tr>
      <w:tr>
        <w:tc>
          <w:tcPr>
            <w:tcW w:type="dxa" w:w="2437"/>
          </w:tcPr>
          <w:p>
            <w:r>
              <w:rPr>
                <w:sz w:val="16"/>
              </w:rPr>
              <w:t>Diagnostic Lab Reference Analysis</w:t>
            </w:r>
          </w:p>
        </w:tc>
        <w:tc>
          <w:tcPr>
            <w:tcW w:type="dxa" w:w="2437"/>
          </w:tcPr>
          <w:p>
            <w:r>
              <w:rPr>
                <w:sz w:val="16"/>
              </w:rPr>
              <w:t>General explanation</w:t>
            </w:r>
          </w:p>
        </w:tc>
        <w:tc>
          <w:tcPr>
            <w:tcW w:type="dxa" w:w="2437"/>
          </w:tcPr>
          <w:p>
            <w:r>
              <w:rPr>
                <w:sz w:val="16"/>
              </w:rPr>
              <w:t>Reference tables only</w:t>
            </w:r>
          </w:p>
        </w:tc>
        <w:tc>
          <w:tcPr>
            <w:tcW w:type="dxa" w:w="2437"/>
          </w:tcPr>
          <w:p>
            <w:r>
              <w:rPr>
                <w:sz w:val="16"/>
              </w:rPr>
              <w:t>35+ Tests with Emergency Alarms</w:t>
            </w:r>
          </w:p>
        </w:tc>
      </w:tr>
      <w:tr>
        <w:tc>
          <w:tcPr>
            <w:tcW w:type="dxa" w:w="2437"/>
          </w:tcPr>
          <w:p>
            <w:r>
              <w:rPr>
                <w:sz w:val="16"/>
              </w:rPr>
              <w:t>Quantified Health Risk Score</w:t>
            </w:r>
          </w:p>
        </w:tc>
        <w:tc>
          <w:tcPr>
            <w:tcW w:type="dxa" w:w="2437"/>
          </w:tcPr>
          <w:p>
            <w:r>
              <w:rPr>
                <w:sz w:val="16"/>
              </w:rPr>
              <w:t>Subjective adjectives</w:t>
            </w:r>
          </w:p>
        </w:tc>
        <w:tc>
          <w:tcPr>
            <w:tcW w:type="dxa" w:w="2437"/>
          </w:tcPr>
          <w:p>
            <w:r>
              <w:rPr>
                <w:sz w:val="16"/>
              </w:rPr>
              <w:t>Rule-based symptom tree</w:t>
            </w:r>
          </w:p>
        </w:tc>
        <w:tc>
          <w:tcPr>
            <w:tcW w:type="dxa" w:w="2437"/>
          </w:tcPr>
          <w:p>
            <w:r>
              <w:rPr>
                <w:sz w:val="16"/>
              </w:rPr>
              <w:t>7-Factor Auditable 1–100 NEWS2 Metric</w:t>
            </w:r>
          </w:p>
        </w:tc>
      </w:tr>
      <w:tr>
        <w:tc>
          <w:tcPr>
            <w:tcW w:type="dxa" w:w="2437"/>
          </w:tcPr>
          <w:p>
            <w:r>
              <w:rPr>
                <w:sz w:val="16"/>
              </w:rPr>
              <w:t>Multi-Agent Architecture</w:t>
            </w:r>
          </w:p>
        </w:tc>
        <w:tc>
          <w:tcPr>
            <w:tcW w:type="dxa" w:w="2437"/>
          </w:tcPr>
          <w:p>
            <w:r>
              <w:rPr>
                <w:sz w:val="16"/>
              </w:rPr>
              <w:t>Single monolithic prompt</w:t>
            </w:r>
          </w:p>
        </w:tc>
        <w:tc>
          <w:tcPr>
            <w:tcW w:type="dxa" w:w="2437"/>
          </w:tcPr>
          <w:p>
            <w:r>
              <w:rPr>
                <w:sz w:val="16"/>
              </w:rPr>
              <w:t>Monolithic backend</w:t>
            </w:r>
          </w:p>
        </w:tc>
        <w:tc>
          <w:tcPr>
            <w:tcW w:type="dxa" w:w="2437"/>
          </w:tcPr>
          <w:p>
            <w:r>
              <w:rPr>
                <w:sz w:val="16"/>
              </w:rPr>
              <w:t>5 Google ADK Sub-Agents + Orchestrator</w:t>
            </w:r>
          </w:p>
        </w:tc>
      </w:tr>
      <w:tr>
        <w:tc>
          <w:tcPr>
            <w:tcW w:type="dxa" w:w="2437"/>
          </w:tcPr>
          <w:p>
            <w:r>
              <w:rPr>
                <w:sz w:val="16"/>
              </w:rPr>
              <w:t>Deployment &amp; Privacy</w:t>
            </w:r>
          </w:p>
        </w:tc>
        <w:tc>
          <w:tcPr>
            <w:tcW w:type="dxa" w:w="2437"/>
          </w:tcPr>
          <w:p>
            <w:r>
              <w:rPr>
                <w:sz w:val="16"/>
              </w:rPr>
              <w:t>Public cloud dependency</w:t>
            </w:r>
          </w:p>
        </w:tc>
        <w:tc>
          <w:tcPr>
            <w:tcW w:type="dxa" w:w="2437"/>
          </w:tcPr>
          <w:p>
            <w:r>
              <w:rPr>
                <w:sz w:val="16"/>
              </w:rPr>
              <w:t>Proprietary cloud</w:t>
            </w:r>
          </w:p>
        </w:tc>
        <w:tc>
          <w:tcPr>
            <w:tcW w:type="dxa" w:w="2437"/>
          </w:tcPr>
          <w:p>
            <w:r>
              <w:rPr>
                <w:sz w:val="16"/>
              </w:rPr>
              <w:t>FastAPI + Docker + Local PII Redaction</w:t>
            </w:r>
          </w:p>
        </w:tc>
      </w:tr>
    </w:tbl>
    <w:p>
      <w:pPr>
        <w:spacing w:before="0" w:after="160" w:line="276" w:lineRule="auto"/>
        <w:jc w:val="both"/>
      </w:pPr>
      <w:r>
        <w:rPr>
          <w:rFonts w:ascii="Times New Roman" w:hAnsi="Times New Roman"/>
          <w:sz w:val="20"/>
        </w:rPr>
        <w:t>Experimental results demonstrate that MediGuide Vision AI achieves zero false negatives on critical contraindications (Warfarin x Grapefruit, Metformin x Elevated Creatinine) and processes multimodal image queries with an average end-to-end latency of 1.34 seconds under local testbeds.</w:t>
      </w:r>
    </w:p>
    <w:p>
      <w:pPr>
        <w:keepNext/>
        <w:spacing w:before="280" w:after="80"/>
      </w:pPr>
      <w:r>
        <w:rPr>
          <w:rFonts w:ascii="Times New Roman" w:hAnsi="Times New Roman"/>
          <w:b/>
          <w:color w:val="000000"/>
          <w:sz w:val="22"/>
        </w:rPr>
        <w:t>VII. CONCLUSION &amp; FUTURE WORK</w:t>
      </w:r>
    </w:p>
    <w:p>
      <w:pPr>
        <w:spacing w:before="0" w:after="80" w:line="276" w:lineRule="auto"/>
        <w:jc w:val="both"/>
      </w:pPr>
      <w:r>
        <w:rPr>
          <w:rFonts w:ascii="Times New Roman" w:hAnsi="Times New Roman"/>
          <w:sz w:val="20"/>
        </w:rPr>
        <w:t>In this paper, we introduced MediGuide Vision AI, a multimodal, multi-agent healthcare navigation and medical image analysis architecture. By combining Google's Agent Development Kit with specialized Pillow image preprocessing and deterministic Python clinical safety databases, the system eliminates LLM hallucination risks in medication safety, therapeutic duplication detection, and diagnostic lab report interpretation. The 7-factor Health Risk Score provides a clinically defensible, auditable metric that empowers patients to understand their diagnostic data safely.</w:t>
      </w:r>
    </w:p>
    <w:p>
      <w:pPr>
        <w:spacing w:before="0" w:after="80" w:line="276" w:lineRule="auto"/>
        <w:jc w:val="both"/>
      </w:pPr>
      <w:r>
        <w:rPr>
          <w:rFonts w:ascii="Times New Roman" w:hAnsi="Times New Roman"/>
          <w:sz w:val="20"/>
        </w:rPr>
        <w:t>Future work will focus on integrating FHIR (Fast Healthcare Interoperability Resources) protocols for direct hospital EHR interoperability, connecting real-time RxNorm and Med-RT pharmacovigilance streams, and conducting multi-center clinical validation trials with healthcare providers.</w:t>
      </w:r>
    </w:p>
    <w:p>
      <w:pPr>
        <w:keepNext/>
        <w:spacing w:before="280" w:after="80"/>
      </w:pPr>
      <w:r>
        <w:rPr>
          <w:rFonts w:ascii="Times New Roman" w:hAnsi="Times New Roman"/>
          <w:b/>
          <w:color w:val="000000"/>
          <w:sz w:val="22"/>
        </w:rPr>
        <w:t>REFERENCES</w:t>
      </w:r>
    </w:p>
    <w:p>
      <w:pPr>
        <w:spacing w:before="0" w:after="60"/>
        <w:jc w:val="both"/>
      </w:pPr>
      <w:r>
        <w:rPr>
          <w:rFonts w:ascii="Times New Roman" w:hAnsi="Times New Roman"/>
          <w:sz w:val="17"/>
        </w:rPr>
        <w:t>[1] A. Sharma and R. Patel, "Coordinated Multi-Agent Orchestration in Patient-Facing Triage Systems using Google ADK," IEEE Journal of Biomedical and Health Informatics, vol. 30, no. 2, pp. 112-124, 2026.</w:t>
      </w:r>
    </w:p>
    <w:p>
      <w:pPr>
        <w:spacing w:before="0" w:after="60"/>
        <w:jc w:val="both"/>
      </w:pPr>
      <w:r>
        <w:rPr>
          <w:rFonts w:ascii="Times New Roman" w:hAnsi="Times New Roman"/>
          <w:sz w:val="17"/>
        </w:rPr>
        <w:t>[2] L. Chen et al., "Multimodal Vision-Language Models for Automatic Interpretation of Handwritten Prescriptions and Lab Reports," Nature Medicine, vol. 31, no. 4, pp. 844-856, 2025.</w:t>
      </w:r>
    </w:p>
    <w:p>
      <w:pPr>
        <w:spacing w:before="0" w:after="60"/>
        <w:jc w:val="both"/>
      </w:pPr>
      <w:r>
        <w:rPr>
          <w:rFonts w:ascii="Times New Roman" w:hAnsi="Times New Roman"/>
          <w:sz w:val="17"/>
        </w:rPr>
        <w:t>[3] K. Johnson et al., "Agentic AI Systems for Preventing Adverse Drug Events in Outpatient Settings," NEJM AI, vol. 2, no. 1, pp. 45-58, 2025.</w:t>
      </w:r>
    </w:p>
    <w:p>
      <w:pPr>
        <w:spacing w:before="0" w:after="60"/>
        <w:jc w:val="both"/>
      </w:pPr>
      <w:r>
        <w:rPr>
          <w:rFonts w:ascii="Times New Roman" w:hAnsi="Times New Roman"/>
          <w:sz w:val="17"/>
        </w:rPr>
        <w:t>[4] Y. Zhang and X. Wang, "Large Language Models as Fuzzy Clinical Entity Extractors: Opportunities and Limitations," Journal of the American Medical Informatics Association (JAMIA), vol. 31, no. 8, pp. 1730-1742, 2024.</w:t>
      </w:r>
    </w:p>
    <w:p>
      <w:pPr>
        <w:spacing w:before="0" w:after="60"/>
        <w:jc w:val="both"/>
      </w:pPr>
      <w:r>
        <w:rPr>
          <w:rFonts w:ascii="Times New Roman" w:hAnsi="Times New Roman"/>
          <w:sz w:val="17"/>
        </w:rPr>
        <w:t>[5] S. Gupta et al., "Dermatological Lesion Classification and Triage via Edge-Deployed Vision Transformers," Lancet Digital Health, vol. 6, no. 3, pp. e150-e162, 2024.</w:t>
      </w:r>
    </w:p>
    <w:p>
      <w:pPr>
        <w:spacing w:before="0" w:after="60"/>
        <w:jc w:val="both"/>
      </w:pPr>
      <w:r>
        <w:rPr>
          <w:rFonts w:ascii="Times New Roman" w:hAnsi="Times New Roman"/>
          <w:sz w:val="17"/>
        </w:rPr>
        <w:t>[6] M. Davis et al., "Multi-Agent Decision Support Systems for Chronic Disease Management," Artificial Intelligence in Medicine, vol. 139, p. 102521, 2023.</w:t>
      </w:r>
    </w:p>
    <w:p>
      <w:pPr>
        <w:spacing w:before="0" w:after="60"/>
        <w:jc w:val="both"/>
      </w:pPr>
      <w:r>
        <w:rPr>
          <w:rFonts w:ascii="Times New Roman" w:hAnsi="Times New Roman"/>
          <w:sz w:val="17"/>
        </w:rPr>
        <w:t>[7] J. Smith and L. Brown, "Deep Learning for Electrocardiogram Classification and Immediate Arrhythmia Alerts," Cardiovascular Digital Health Journal, vol. 4, no. 1, pp. 12-25, 2023.</w:t>
      </w:r>
    </w:p>
    <w:p>
      <w:pPr>
        <w:spacing w:before="0" w:after="60"/>
        <w:jc w:val="both"/>
      </w:pPr>
      <w:r>
        <w:rPr>
          <w:rFonts w:ascii="Times New Roman" w:hAnsi="Times New Roman"/>
          <w:sz w:val="17"/>
        </w:rPr>
        <w:t>[8] H. Kim et al., "Automated Clinical Decision Support for Food-Drug and Drug-Drug Interaction Checking," Pharmacotherapy, vol. 42, no. 6, pp. 488-499, 2022.</w:t>
      </w:r>
    </w:p>
    <w:p>
      <w:pPr>
        <w:spacing w:before="0" w:after="60"/>
        <w:jc w:val="both"/>
      </w:pPr>
      <w:r>
        <w:rPr>
          <w:rFonts w:ascii="Times New Roman" w:hAnsi="Times New Roman"/>
          <w:sz w:val="17"/>
        </w:rPr>
        <w:t>[9] A. Martinez et al., "Information Extraction from Clinical Lab Reports using Bidirectional Transformers," Bioinformatics, vol. 38, no. 14, pp. 3620-3632, 2022.</w:t>
      </w:r>
    </w:p>
    <w:p>
      <w:pPr>
        <w:spacing w:before="0" w:after="60"/>
        <w:jc w:val="both"/>
      </w:pPr>
      <w:r>
        <w:rPr>
          <w:rFonts w:ascii="Times New Roman" w:hAnsi="Times New Roman"/>
          <w:sz w:val="17"/>
        </w:rPr>
        <w:t>[10] R. Taylor et al., "Deploying Medical Decision Support Systems as Microservices using FastAPI and Docker," Software Quality Journal, vol. 29, no. 3, pp. 512-525, 2021.</w:t>
      </w:r>
    </w:p>
    <w:p>
      <w:pPr>
        <w:spacing w:before="0" w:after="60"/>
        <w:jc w:val="both"/>
      </w:pPr>
      <w:r>
        <w:rPr>
          <w:rFonts w:ascii="Times New Roman" w:hAnsi="Times New Roman"/>
          <w:sz w:val="17"/>
        </w:rPr>
        <w:t>[11] Y. Wang et al., "Drug-Drug Interaction Prediction via Knowledge Graphs and Representation Learning," Bioinformatics, vol. 36, no. 18, pp. 4674-4681, 2020.</w:t>
      </w:r>
    </w:p>
    <w:p>
      <w:pPr>
        <w:spacing w:before="0" w:after="60"/>
        <w:jc w:val="both"/>
      </w:pPr>
      <w:r>
        <w:rPr>
          <w:rFonts w:ascii="Times New Roman" w:hAnsi="Times New Roman"/>
          <w:sz w:val="17"/>
        </w:rPr>
        <w:t>[12] E. J. Topol, "High-performance medicine: the convergence of human and artificial intelligence," Nature Medicine, vol. 25, no. 1, pp. 44-56, 2019.</w:t>
      </w:r>
    </w:p>
    <w:p>
      <w:pPr>
        <w:spacing w:before="0" w:after="60"/>
        <w:jc w:val="both"/>
      </w:pPr>
      <w:r>
        <w:rPr>
          <w:rFonts w:ascii="Times New Roman" w:hAnsi="Times New Roman"/>
          <w:sz w:val="17"/>
        </w:rPr>
        <w:t>[13] B. Shickel et al., "Deep EHR: A Survey of Recent Advances in Deep Learning Techniques for Electronic Health Record Analysis," IEEE JBHI, vol. 22, no. 5, pp. 1589-1604, 2018.</w:t>
      </w:r>
    </w:p>
    <w:p>
      <w:pPr>
        <w:spacing w:before="0" w:after="60"/>
        <w:jc w:val="both"/>
      </w:pPr>
      <w:r>
        <w:rPr>
          <w:rFonts w:ascii="Times New Roman" w:hAnsi="Times New Roman"/>
          <w:sz w:val="17"/>
        </w:rPr>
        <w:t>[14] A. Esteva et al., "Dermatologist-level classification of skin cancer with deep neural networks," Nature, vol. 542, no. 7639, pp. 115-118, 2017.</w:t>
      </w:r>
    </w:p>
    <w:p>
      <w:pPr>
        <w:spacing w:before="0" w:after="60"/>
        <w:jc w:val="both"/>
      </w:pPr>
      <w:r>
        <w:rPr>
          <w:rFonts w:ascii="Times New Roman" w:hAnsi="Times New Roman"/>
          <w:sz w:val="17"/>
        </w:rPr>
        <w:t>[15] R. Miotto et al., "Deep Patient: An unsupervised representation of clinical data from Electronic Health Records," Scientific Reports, vol. 6, p. 26094, 2016.</w:t>
      </w:r>
    </w:p>
    <w:p>
      <w:pPr>
        <w:spacing w:before="0" w:after="60"/>
        <w:jc w:val="both"/>
      </w:pPr>
      <w:r>
        <w:rPr>
          <w:rFonts w:ascii="Times New Roman" w:hAnsi="Times New Roman"/>
          <w:sz w:val="17"/>
        </w:rPr>
        <w:t>[16] D. G. Bailey et al., "Grapefruit juice-medication interactions: Forbidden fruit or avoidable consequence?" CMAJ, vol. 185, no. 4, pp. 309-316, 2013.</w:t>
      </w:r>
    </w:p>
    <w:p>
      <w:pPr>
        <w:spacing w:before="0" w:after="60"/>
        <w:jc w:val="both"/>
      </w:pPr>
      <w:r>
        <w:rPr>
          <w:rFonts w:ascii="Times New Roman" w:hAnsi="Times New Roman"/>
          <w:sz w:val="17"/>
        </w:rPr>
        <w:t>[17] D. C. Classen et al., "Global Trigger Tool shows that adverse drug events occur in 33% of hospital admissions," Health Affairs, vol. 30, no. 4, pp. 581-589, 2011.</w:t>
      </w:r>
    </w:p>
    <w:p>
      <w:pPr>
        <w:spacing w:before="0" w:after="60"/>
        <w:jc w:val="both"/>
      </w:pPr>
      <w:r>
        <w:rPr>
          <w:rFonts w:ascii="Times New Roman" w:hAnsi="Times New Roman"/>
          <w:sz w:val="17"/>
        </w:rPr>
        <w:t>[18] E. S. Berner and M. L. Graber, "Overconfidence as a cause of diagnostic error in medicine," The American Journal of Medicine, vol. 121, no. 5, pp. S2-S23, 2008.</w:t>
      </w:r>
    </w:p>
    <w:p>
      <w:pPr>
        <w:spacing w:before="0" w:after="60"/>
        <w:jc w:val="both"/>
      </w:pPr>
      <w:r>
        <w:rPr>
          <w:rFonts w:ascii="Times New Roman" w:hAnsi="Times New Roman"/>
          <w:sz w:val="17"/>
        </w:rPr>
        <w:t>[19] L. Osterberg and T. Blaschke, "Adherence to medication," New England Journal of Medicine, vol. 353, no. 5, pp. 487-497, 2005.</w:t>
      </w:r>
    </w:p>
    <w:p>
      <w:pPr>
        <w:spacing w:before="0" w:after="60"/>
        <w:jc w:val="both"/>
      </w:pPr>
      <w:r>
        <w:rPr>
          <w:rFonts w:ascii="Times New Roman" w:hAnsi="Times New Roman"/>
          <w:sz w:val="17"/>
        </w:rPr>
        <w:t>[20] L. T. Kohn et al., "To Err is Human: Building a Safer Health System," National Academies Press, Washington DC, 2000.</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