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p>
      <w:pPr>
        <w:spacing w:after="0" w:before="600"/>
      </w:pPr>
    </w:p>
    <w:p>
      <w:pPr>
        <w:spacing w:after="0" w:before="600"/>
      </w:pPr>
    </w:p>
    <w:p>
      <w:pPr>
        <w:spacing w:after="200" w:before="200"/>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0" w:before="200"/>
      </w:pPr>
    </w:p>
    <w:p>
      <w:pPr>
        <w:spacing w:after="60"/>
        <w:jc w:val="center"/>
      </w:pPr>
      <w:r>
        <w:rPr>
          <w:rFonts w:ascii="IBM Plex Mono" w:cs="IBM Plex Mono" w:eastAsia="IBM Plex Mono" w:hAnsi="IBM Plex Mono"/>
          <w:b/>
          <w:bCs/>
          <w:color w:val="E8A912"/>
          <w:spacing w:val="240"/>
          <w:sz w:val="22"/>
          <w:szCs w:val="22"/>
        </w:rPr>
        <w:t xml:space="preserve">BRAND GUIDELINES</w:t>
      </w:r>
    </w:p>
    <w:p>
      <w:pPr>
        <w:spacing w:after="60"/>
        <w:jc w:val="center"/>
      </w:pPr>
      <w:r>
        <w:rPr>
          <w:rFonts w:ascii="IBM Plex Mono" w:cs="IBM Plex Mono" w:eastAsia="IBM Plex Mono" w:hAnsi="IBM Plex Mono"/>
          <w:color w:val="9E9888"/>
          <w:sz w:val="18"/>
          <w:szCs w:val="18"/>
        </w:rPr>
        <w:t xml:space="preserve">Version 1.0 — April 2026</w:t>
      </w:r>
    </w:p>
    <w:p>
      <w:pPr>
        <w:spacing w:after="0" w:before="600"/>
      </w:pPr>
    </w:p>
    <w:p>
      <w:pPr>
        <w:spacing w:after="0" w:before="600"/>
      </w:pPr>
    </w:p>
    <w:p>
      <w:pPr>
        <w:spacing w:after="0" w:before="600"/>
      </w:pPr>
    </w:p>
    <w:p>
      <w:pPr>
        <w:spacing w:after="0" w:before="600"/>
      </w:pPr>
    </w:p>
    <w:p>
      <w:pPr>
        <w:jc w:val="center"/>
      </w:pPr>
      <w:r>
        <w:rPr>
          <w:rFonts w:ascii="IBM Plex Mono" w:cs="IBM Plex Mono" w:eastAsia="IBM Plex Mono" w:hAnsi="IBM Plex Mono"/>
          <w:color w:val="5C5850"/>
          <w:spacing w:val="80"/>
          <w:sz w:val="14"/>
          <w:szCs w:val="14"/>
        </w:rPr>
        <w:t xml:space="preserve">CONFIDENTIAL — FOR INTERNAL USE AND APPROVED PARTNERS ONLY</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01</w:t>
      </w:r>
      <w:r>
        <w:rPr>
          <w:rFonts w:ascii="IBM Plex Mono" w:cs="IBM Plex Mono" w:eastAsia="IBM Plex Mono" w:hAnsi="IBM Plex Mono"/>
          <w:color w:val="9E9888"/>
          <w:spacing w:val="80"/>
          <w:sz w:val="20"/>
          <w:szCs w:val="20"/>
        </w:rPr>
        <w:t xml:space="preserve">  BRAND OVERVIEW</w:t>
      </w:r>
    </w:p>
    <w:p>
      <w:pPr>
        <w:spacing w:after="300" w:before="200"/>
      </w:pPr>
      <w:r>
        <w:rPr>
          <w:rFonts w:ascii="Arial" w:cs="Arial" w:eastAsia="Arial" w:hAnsi="Arial"/>
          <w:b/>
          <w:bCs/>
          <w:color w:val="EDE8DC"/>
          <w:sz w:val="48"/>
          <w:szCs w:val="48"/>
        </w:rPr>
        <w:t xml:space="preserve">What is Subpulse</w:t>
      </w:r>
    </w:p>
    <w:p>
      <w:pPr>
        <w:spacing w:after="140"/>
      </w:pPr>
      <w:r>
        <w:rPr>
          <w:rFonts w:ascii="Arial" w:cs="Arial" w:eastAsia="Arial" w:hAnsi="Arial"/>
          <w:color w:val="9E9888"/>
          <w:sz w:val="22"/>
          <w:szCs w:val="22"/>
        </w:rPr>
        <w:t xml:space="preserve">Subpulse is booking intelligence for electronic music. A competitive intelligence platform that tells promoters and venue bookers what is happening on the same night as their event, which artists are routing through their city, and when to avoid scheduling.</w:t>
      </w:r>
    </w:p>
    <w:p>
      <w:pPr>
        <w:spacing w:after="0" w:before="100"/>
      </w:pPr>
    </w:p>
    <w:p>
      <w:pPr>
        <w:spacing w:after="140"/>
      </w:pPr>
      <w:r>
        <w:rPr>
          <w:rFonts w:ascii="Arial" w:cs="Arial" w:eastAsia="Arial" w:hAnsi="Arial"/>
          <w:color w:val="EDE8DC"/>
          <w:sz w:val="22"/>
          <w:szCs w:val="22"/>
        </w:rPr>
        <w:t xml:space="preserve">Think Bloomberg terminal for the underground.</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BRAND POSITIONING</w:t>
      </w:r>
    </w:p>
    <w:p>
      <w:pPr>
        <w:spacing w:after="140"/>
      </w:pPr>
      <w:r>
        <w:rPr>
          <w:rFonts w:ascii="Arial" w:cs="Arial" w:eastAsia="Arial" w:hAnsi="Arial"/>
          <w:color w:val="9E9888"/>
          <w:sz w:val="22"/>
          <w:szCs w:val="22"/>
        </w:rPr>
        <w:t xml:space="preserve">Subpulse sits at the intersection of underground electronic music culture and data intelligence. The brand speaks to professionals who book artists, manage venues, and run events across the busiest nightlife cities in Europe. The aesthetic is rooted in the equipment these people use every night: CDJ players, mixers, and the amber-lit screens of Pioneer hardware.</w:t>
      </w:r>
    </w:p>
    <w:p>
      <w:pPr>
        <w:spacing w:after="160" w:before="300"/>
      </w:pPr>
      <w:r>
        <w:rPr>
          <w:rFonts w:ascii="IBM Plex Mono" w:cs="IBM Plex Mono" w:eastAsia="IBM Plex Mono" w:hAnsi="IBM Plex Mono"/>
          <w:b/>
          <w:bCs/>
          <w:color w:val="E8A912"/>
          <w:spacing w:val="120"/>
          <w:sz w:val="18"/>
          <w:szCs w:val="18"/>
        </w:rPr>
        <w:t xml:space="preserve">BRAND VALUES</w:t>
      </w:r>
    </w:p>
    <w:p>
      <w:pPr>
        <w:spacing w:after="80"/>
      </w:pPr>
      <w:r>
        <w:rPr>
          <w:rFonts w:ascii="Arial" w:cs="Arial" w:eastAsia="Arial" w:hAnsi="Arial"/>
          <w:b/>
          <w:bCs/>
          <w:color w:val="EDE8DC"/>
          <w:sz w:val="22"/>
          <w:szCs w:val="22"/>
        </w:rPr>
        <w:t xml:space="preserve">Authenticity</w:t>
      </w:r>
    </w:p>
    <w:p>
      <w:pPr>
        <w:spacing w:after="140"/>
      </w:pPr>
      <w:r>
        <w:rPr>
          <w:rFonts w:ascii="Arial" w:cs="Arial" w:eastAsia="Arial" w:hAnsi="Arial"/>
          <w:color w:val="9E9888"/>
          <w:sz w:val="22"/>
          <w:szCs w:val="22"/>
        </w:rPr>
        <w:t xml:space="preserve">Built by a promoter, for promoters. No fake data, no vanity metrics, no bought followers.</w:t>
      </w:r>
    </w:p>
    <w:p>
      <w:pPr>
        <w:spacing w:after="80"/>
      </w:pPr>
      <w:r>
        <w:rPr>
          <w:rFonts w:ascii="Arial" w:cs="Arial" w:eastAsia="Arial" w:hAnsi="Arial"/>
          <w:b/>
          <w:bCs/>
          <w:color w:val="EDE8DC"/>
          <w:sz w:val="22"/>
          <w:szCs w:val="22"/>
        </w:rPr>
        <w:t xml:space="preserve">Precision</w:t>
      </w:r>
    </w:p>
    <w:p>
      <w:pPr>
        <w:spacing w:after="140"/>
      </w:pPr>
      <w:r>
        <w:rPr>
          <w:rFonts w:ascii="Arial" w:cs="Arial" w:eastAsia="Arial" w:hAnsi="Arial"/>
          <w:color w:val="9E9888"/>
          <w:sz w:val="22"/>
          <w:szCs w:val="22"/>
        </w:rPr>
        <w:t xml:space="preserve">Every data point is real, sourced from actual event listings across 44 European cities.</w:t>
      </w:r>
    </w:p>
    <w:p>
      <w:pPr>
        <w:spacing w:after="80"/>
      </w:pPr>
      <w:r>
        <w:rPr>
          <w:rFonts w:ascii="Arial" w:cs="Arial" w:eastAsia="Arial" w:hAnsi="Arial"/>
          <w:b/>
          <w:bCs/>
          <w:color w:val="EDE8DC"/>
          <w:sz w:val="22"/>
          <w:szCs w:val="22"/>
        </w:rPr>
        <w:t xml:space="preserve">Underground credibility</w:t>
      </w:r>
    </w:p>
    <w:p>
      <w:pPr>
        <w:spacing w:after="140"/>
      </w:pPr>
      <w:r>
        <w:rPr>
          <w:rFonts w:ascii="Arial" w:cs="Arial" w:eastAsia="Arial" w:hAnsi="Arial"/>
          <w:color w:val="9E9888"/>
          <w:sz w:val="22"/>
          <w:szCs w:val="22"/>
        </w:rPr>
        <w:t xml:space="preserve">The brand earns respect by knowing the culture, not marketing at it. Berghain, Fabric, Tresor, and the RA ecosystem are native reference points, not research topics.</w:t>
      </w:r>
    </w:p>
    <w:p>
      <w:pPr>
        <w:spacing w:after="160" w:before="300"/>
      </w:pPr>
      <w:r>
        <w:rPr>
          <w:rFonts w:ascii="IBM Plex Mono" w:cs="IBM Plex Mono" w:eastAsia="IBM Plex Mono" w:hAnsi="IBM Plex Mono"/>
          <w:b/>
          <w:bCs/>
          <w:color w:val="E8A912"/>
          <w:spacing w:val="120"/>
          <w:sz w:val="18"/>
          <w:szCs w:val="18"/>
        </w:rPr>
        <w:t xml:space="preserve">ONE-LINER</w:t>
      </w:r>
    </w:p>
    <w:p>
      <w:pPr>
        <w:spacing w:after="140"/>
      </w:pPr>
      <w:r>
        <w:rPr>
          <w:rFonts w:ascii="Arial" w:cs="Arial" w:eastAsia="Arial" w:hAnsi="Arial"/>
          <w:color w:val="EDE8DC"/>
          <w:sz w:val="22"/>
          <w:szCs w:val="22"/>
        </w:rPr>
        <w:t xml:space="preserve">Booking intelligence for electronic music.</w:t>
      </w:r>
    </w:p>
    <w:p>
      <w:pPr>
        <w:spacing w:after="160" w:before="300"/>
      </w:pPr>
      <w:r>
        <w:rPr>
          <w:rFonts w:ascii="IBM Plex Mono" w:cs="IBM Plex Mono" w:eastAsia="IBM Plex Mono" w:hAnsi="IBM Plex Mono"/>
          <w:b/>
          <w:bCs/>
          <w:color w:val="E8A912"/>
          <w:spacing w:val="120"/>
          <w:sz w:val="18"/>
          <w:szCs w:val="18"/>
        </w:rPr>
        <w:t xml:space="preserve">DOMAIN</w:t>
      </w:r>
    </w:p>
    <w:p>
      <w:pPr>
        <w:spacing w:after="100"/>
      </w:pPr>
      <w:r>
        <w:rPr>
          <w:rFonts w:ascii="IBM Plex Mono" w:cs="IBM Plex Mono" w:eastAsia="IBM Plex Mono" w:hAnsi="IBM Plex Mono"/>
          <w:color w:val="E8A912"/>
          <w:sz w:val="20"/>
          <w:szCs w:val="20"/>
        </w:rPr>
        <w:t xml:space="preserve">subpulse.fm</w:t>
      </w:r>
    </w:p>
    <w:p>
      <w:pPr>
        <w:spacing w:after="140"/>
      </w:pPr>
      <w:r>
        <w:rPr>
          <w:rFonts w:ascii="Arial" w:cs="Arial" w:eastAsia="Arial" w:hAnsi="Arial"/>
          <w:color w:val="9E9888"/>
          <w:sz w:val="22"/>
          <w:szCs w:val="22"/>
        </w:rPr>
        <w:t xml:space="preserve">Chosen for music industry resonance (.fm = frequency modulation). Used by Last.fm and other music platforms. No geographic limitation for global expansion.</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02</w:t>
      </w:r>
      <w:r>
        <w:rPr>
          <w:rFonts w:ascii="IBM Plex Mono" w:cs="IBM Plex Mono" w:eastAsia="IBM Plex Mono" w:hAnsi="IBM Plex Mono"/>
          <w:color w:val="9E9888"/>
          <w:spacing w:val="80"/>
          <w:sz w:val="20"/>
          <w:szCs w:val="20"/>
        </w:rPr>
        <w:t xml:space="preserve">  LOGO SYSTEM</w:t>
      </w:r>
    </w:p>
    <w:p>
      <w:pPr>
        <w:spacing w:after="300" w:before="200"/>
      </w:pPr>
      <w:r>
        <w:rPr>
          <w:rFonts w:ascii="Arial" w:cs="Arial" w:eastAsia="Arial" w:hAnsi="Arial"/>
          <w:b/>
          <w:bCs/>
          <w:color w:val="EDE8DC"/>
          <w:sz w:val="48"/>
          <w:szCs w:val="48"/>
        </w:rPr>
        <w:t xml:space="preserve">Logo</w:t>
      </w:r>
    </w:p>
    <w:p>
      <w:pPr>
        <w:spacing w:after="140"/>
      </w:pPr>
      <w:r>
        <w:rPr>
          <w:rFonts w:ascii="Arial" w:cs="Arial" w:eastAsia="Arial" w:hAnsi="Arial"/>
          <w:color w:val="9E9888"/>
          <w:sz w:val="22"/>
          <w:szCs w:val="22"/>
        </w:rPr>
        <w:t xml:space="preserve">The Subpulse logo consists of two elements: the waveform mark and the wordmark. Below are all approved lockup configurations.</w:t>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PRIMARY LOCKUP — HORIZONTAL</w:t>
      </w:r>
    </w:p>
    <w:p>
      <w:pPr>
        <w:spacing w:after="140"/>
      </w:pPr>
      <w:r>
        <w:rPr>
          <w:rFonts w:ascii="Arial" w:cs="Arial" w:eastAsia="Arial" w:hAnsi="Arial"/>
          <w:color w:val="9E9888"/>
          <w:sz w:val="22"/>
          <w:szCs w:val="22"/>
        </w:rPr>
        <w:t xml:space="preserve">Used in most contexts: website header, email signatures, documentation, partnerships.</w:t>
      </w:r>
    </w:p>
    <w:p>
      <w:pPr>
        <w:spacing w:after="200" w:before="200"/>
        <w:jc w:val="center"/>
      </w:pPr>
      <w:r>
        <w:drawing>
          <wp:inline distT="0" distB="0" distL="0" distR="0">
            <wp:extent cx="47625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742950"/>
                    </a:xfrm>
                    <a:prstGeom prst="rect">
                      <a:avLst/>
                    </a:prstGeom>
                  </pic:spPr>
                </pic:pic>
              </a:graphicData>
            </a:graphic>
          </wp:inline>
        </w:drawing>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CLEAN LOCKUP — NO URL</w:t>
      </w:r>
    </w:p>
    <w:p>
      <w:pPr>
        <w:spacing w:after="140"/>
      </w:pPr>
      <w:r>
        <w:rPr>
          <w:rFonts w:ascii="Arial" w:cs="Arial" w:eastAsia="Arial" w:hAnsi="Arial"/>
          <w:color w:val="9E9888"/>
          <w:sz w:val="22"/>
          <w:szCs w:val="22"/>
        </w:rPr>
        <w:t xml:space="preserve">Used when the URL is not needed or displayed elsewhere: social media profile, app splash, merchandise.</w:t>
      </w:r>
    </w:p>
    <w:p>
      <w:pPr>
        <w:spacing w:after="200" w:before="200"/>
        <w:jc w:val="center"/>
      </w:pPr>
      <w:r>
        <w:drawing>
          <wp:inline distT="0" distB="0" distL="0" distR="0">
            <wp:extent cx="47625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742950"/>
                    </a:xfrm>
                    <a:prstGeom prst="rect">
                      <a:avLst/>
                    </a:prstGeom>
                  </pic:spPr>
                </pic:pic>
              </a:graphicData>
            </a:graphic>
          </wp:inline>
        </w:drawing>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STACKED LOCKUP</w:t>
      </w:r>
    </w:p>
    <w:p>
      <w:pPr>
        <w:spacing w:after="140"/>
      </w:pPr>
      <w:r>
        <w:rPr>
          <w:rFonts w:ascii="Arial" w:cs="Arial" w:eastAsia="Arial" w:hAnsi="Arial"/>
          <w:color w:val="9E9888"/>
          <w:sz w:val="22"/>
          <w:szCs w:val="22"/>
        </w:rPr>
        <w:t xml:space="preserve">Used for centered compositions: landing page hero, social media posts, event materials, business cards.</w:t>
      </w:r>
    </w:p>
    <w:p>
      <w:pPr>
        <w:spacing w:after="200" w:before="200"/>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400300"/>
                    </a:xfrm>
                    <a:prstGeom prst="rect">
                      <a:avLst/>
                    </a:prstGeom>
                  </pic:spPr>
                </pic:pic>
              </a:graphicData>
            </a:graphic>
          </wp:inline>
        </w:drawing>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WAVEFORM MARK — ICON</w:t>
      </w:r>
    </w:p>
    <w:p>
      <w:pPr>
        <w:spacing w:after="140"/>
      </w:pPr>
      <w:r>
        <w:rPr>
          <w:rFonts w:ascii="Arial" w:cs="Arial" w:eastAsia="Arial" w:hAnsi="Arial"/>
          <w:color w:val="9E9888"/>
          <w:sz w:val="22"/>
          <w:szCs w:val="22"/>
        </w:rPr>
        <w:t xml:space="preserve">Used as favicon, app icon, social media avatar, and anywhere space is limited. Never pair with text at this size.</w:t>
      </w:r>
    </w:p>
    <w:p>
      <w:pPr>
        <w:spacing w:after="200" w:before="200"/>
        <w:jc w:val="center"/>
      </w:pPr>
      <w:r>
        <w:drawing>
          <wp:inline distT="0" distB="0" distL="0" distR="0">
            <wp:extent cx="28575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638300"/>
                    </a:xfrm>
                    <a:prstGeom prst="rect">
                      <a:avLst/>
                    </a:prstGeom>
                  </pic:spPr>
                </pic:pic>
              </a:graphicData>
            </a:graphic>
          </wp:inline>
        </w:drawing>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APP HEADER</w:t>
      </w:r>
    </w:p>
    <w:p>
      <w:pPr>
        <w:spacing w:after="140"/>
      </w:pPr>
      <w:r>
        <w:rPr>
          <w:rFonts w:ascii="Arial" w:cs="Arial" w:eastAsia="Arial" w:hAnsi="Arial"/>
          <w:color w:val="9E9888"/>
          <w:sz w:val="22"/>
          <w:szCs w:val="22"/>
        </w:rPr>
        <w:t xml:space="preserve">Used in the product UI navigation bar. Waveform mark on the left, wordmark adjacent, URL pushed right.</w:t>
      </w:r>
    </w:p>
    <w:p>
      <w:pPr>
        <w:spacing w:after="200" w:before="200"/>
        <w:jc w:val="center"/>
      </w:pPr>
      <w:r>
        <w:drawing>
          <wp:inline distT="0" distB="0" distL="0" distR="0">
            <wp:extent cx="47625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00050"/>
                    </a:xfrm>
                    <a:prstGeom prst="rect">
                      <a:avLst/>
                    </a:prstGeom>
                  </pic:spPr>
                </pic:pic>
              </a:graphicData>
            </a:graphic>
          </wp:inline>
        </w:drawing>
      </w:r>
    </w:p>
    <w:p>
      <w:r>
        <w:br w:type="page"/>
      </w:r>
    </w:p>
    <w:p>
      <w:pPr>
        <w:spacing w:after="160" w:before="300"/>
      </w:pPr>
      <w:r>
        <w:rPr>
          <w:rFonts w:ascii="IBM Plex Mono" w:cs="IBM Plex Mono" w:eastAsia="IBM Plex Mono" w:hAnsi="IBM Plex Mono"/>
          <w:b/>
          <w:bCs/>
          <w:color w:val="E8A912"/>
          <w:spacing w:val="120"/>
          <w:sz w:val="18"/>
          <w:szCs w:val="18"/>
        </w:rPr>
        <w:t xml:space="preserve">MINIMUM SIZE</w:t>
      </w:r>
    </w:p>
    <w:p>
      <w:pPr>
        <w:spacing w:after="140"/>
      </w:pPr>
      <w:r>
        <w:rPr>
          <w:rFonts w:ascii="Arial" w:cs="Arial" w:eastAsia="Arial" w:hAnsi="Arial"/>
          <w:color w:val="9E9888"/>
          <w:sz w:val="22"/>
          <w:szCs w:val="22"/>
        </w:rPr>
        <w:t xml:space="preserve">The waveform mark should not be reproduced smaller than 24px wide on screen or 6mm in print. Below that threshold, the individual amplitude bars become unreadable.</w:t>
      </w:r>
    </w:p>
    <w:p>
      <w:pPr>
        <w:spacing w:after="200" w:before="200"/>
        <w:jc w:val="center"/>
      </w:pPr>
      <w:r>
        <w:drawing>
          <wp:inline distT="0" distB="0" distL="0" distR="0">
            <wp:extent cx="3810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609600"/>
                    </a:xfrm>
                    <a:prstGeom prst="rect">
                      <a:avLst/>
                    </a:prstGeom>
                  </pic:spPr>
                </pic:pic>
              </a:graphicData>
            </a:graphic>
          </wp:inline>
        </w:drawing>
      </w:r>
    </w:p>
    <w:p>
      <w:pPr>
        <w:pBdr>
          <w:bottom w:val="single" w:color="333333" w:sz="1" w:space="8"/>
        </w:pBdr>
        <w:spacing w:after="200" w:before="200"/>
      </w:pPr>
    </w:p>
    <w:p>
      <w:pPr>
        <w:spacing w:after="160" w:before="300"/>
      </w:pPr>
      <w:r>
        <w:rPr>
          <w:rFonts w:ascii="IBM Plex Mono" w:cs="IBM Plex Mono" w:eastAsia="IBM Plex Mono" w:hAnsi="IBM Plex Mono"/>
          <w:b/>
          <w:bCs/>
          <w:color w:val="E8A912"/>
          <w:spacing w:val="120"/>
          <w:sz w:val="18"/>
          <w:szCs w:val="18"/>
        </w:rPr>
        <w:t xml:space="preserve">WAVEFORM MARK</w:t>
      </w:r>
    </w:p>
    <w:p>
      <w:pPr>
        <w:spacing w:after="140"/>
      </w:pPr>
      <w:r>
        <w:rPr>
          <w:rFonts w:ascii="Arial" w:cs="Arial" w:eastAsia="Arial" w:hAnsi="Arial"/>
          <w:color w:val="9E9888"/>
          <w:sz w:val="22"/>
          <w:szCs w:val="22"/>
        </w:rPr>
        <w:t xml:space="preserve">The waveform is generated from real audio data. It is a mirrored amplitude visualization rendered as vertical bars in the CDJ style. This is not a decorative illustration — it is actual music encoded as a visual identity.</w:t>
      </w:r>
    </w:p>
    <w:p>
      <w:pPr>
        <w:spacing w:after="140"/>
      </w:pPr>
      <w:r>
        <w:rPr>
          <w:rFonts w:ascii="Arial" w:cs="Arial" w:eastAsia="Arial" w:hAnsi="Arial"/>
          <w:color w:val="9E9888"/>
          <w:sz w:val="22"/>
          <w:szCs w:val="22"/>
        </w:rPr>
        <w:t xml:space="preserve">The mark uses a 7-step amber gradient mapped to audio amplitude. Each bar is colored by the energy level of the audio at that point in the track. The source track and the specific section used are part of the brand DNA.</w:t>
      </w:r>
    </w:p>
    <w:p>
      <w:pPr>
        <w:spacing w:after="160" w:before="300"/>
      </w:pPr>
      <w:r>
        <w:rPr>
          <w:rFonts w:ascii="IBM Plex Mono" w:cs="IBM Plex Mono" w:eastAsia="IBM Plex Mono" w:hAnsi="IBM Plex Mono"/>
          <w:b/>
          <w:bCs/>
          <w:color w:val="E8A912"/>
          <w:spacing w:val="120"/>
          <w:sz w:val="18"/>
          <w:szCs w:val="18"/>
        </w:rPr>
        <w:t xml:space="preserve">WORDMARK</w:t>
      </w:r>
    </w:p>
    <w:p>
      <w:pPr>
        <w:spacing w:after="80"/>
      </w:pPr>
      <w:r>
        <w:rPr>
          <w:rFonts w:ascii="Arial" w:cs="Arial" w:eastAsia="Arial" w:hAnsi="Arial"/>
          <w:b/>
          <w:bCs/>
          <w:color w:val="EDE8DC"/>
          <w:sz w:val="22"/>
          <w:szCs w:val="22"/>
        </w:rPr>
        <w:t xml:space="preserve">Font: Orbitron 500 (Medium)</w:t>
      </w:r>
    </w:p>
    <w:p>
      <w:pPr>
        <w:spacing w:after="140"/>
      </w:pPr>
      <w:r>
        <w:rPr>
          <w:rFonts w:ascii="Arial" w:cs="Arial" w:eastAsia="Arial" w:hAnsi="Arial"/>
          <w:color w:val="9E9888"/>
          <w:sz w:val="22"/>
          <w:szCs w:val="22"/>
        </w:rPr>
        <w:t xml:space="preserve">All caps. Letter-spacing: 3-4px. The font was chosen for its geometric, wide, electronic character. It reads like CDJ screen typography and signals precision engineering.</w:t>
      </w:r>
    </w:p>
    <w:p>
      <w:pPr>
        <w:spacing w:after="160" w:before="300"/>
      </w:pPr>
      <w:r>
        <w:rPr>
          <w:rFonts w:ascii="IBM Plex Mono" w:cs="IBM Plex Mono" w:eastAsia="IBM Plex Mono" w:hAnsi="IBM Plex Mono"/>
          <w:b/>
          <w:bCs/>
          <w:color w:val="E8A912"/>
          <w:spacing w:val="120"/>
          <w:sz w:val="18"/>
          <w:szCs w:val="18"/>
        </w:rPr>
        <w:t xml:space="preserve">TAGLINE</w:t>
      </w:r>
    </w:p>
    <w:p>
      <w:pPr>
        <w:spacing w:after="80"/>
      </w:pPr>
      <w:r>
        <w:rPr>
          <w:rFonts w:ascii="Arial" w:cs="Arial" w:eastAsia="Arial" w:hAnsi="Arial"/>
          <w:b/>
          <w:bCs/>
          <w:color w:val="EDE8DC"/>
          <w:sz w:val="22"/>
          <w:szCs w:val="22"/>
        </w:rPr>
        <w:t xml:space="preserve">Font: IBM Plex Mono 400</w:t>
      </w:r>
    </w:p>
    <w:p>
      <w:pPr>
        <w:spacing w:after="140"/>
      </w:pPr>
      <w:r>
        <w:rPr>
          <w:rFonts w:ascii="Arial" w:cs="Arial" w:eastAsia="Arial" w:hAnsi="Arial"/>
          <w:color w:val="9E9888"/>
          <w:sz w:val="22"/>
          <w:szCs w:val="22"/>
        </w:rPr>
        <w:t xml:space="preserve">The tagline 'booking intelligence' and domain 'subpulse.fm' are always set in IBM Plex Mono, regular weight, with generous letter-spacing (3-4px). Color: #9E9888.</w:t>
      </w:r>
    </w:p>
    <w:p>
      <w:pPr>
        <w:spacing w:after="160" w:before="300"/>
      </w:pPr>
      <w:r>
        <w:rPr>
          <w:rFonts w:ascii="IBM Plex Mono" w:cs="IBM Plex Mono" w:eastAsia="IBM Plex Mono" w:hAnsi="IBM Plex Mono"/>
          <w:b/>
          <w:bCs/>
          <w:color w:val="E8A912"/>
          <w:spacing w:val="120"/>
          <w:sz w:val="18"/>
          <w:szCs w:val="18"/>
        </w:rPr>
        <w:t xml:space="preserve">CLEAR SPACE</w:t>
      </w:r>
    </w:p>
    <w:p>
      <w:pPr>
        <w:spacing w:after="140"/>
      </w:pPr>
      <w:r>
        <w:rPr>
          <w:rFonts w:ascii="Arial" w:cs="Arial" w:eastAsia="Arial" w:hAnsi="Arial"/>
          <w:color w:val="9E9888"/>
          <w:sz w:val="22"/>
          <w:szCs w:val="22"/>
        </w:rPr>
        <w:t xml:space="preserve">Maintain a minimum clear space equal to the height of the letter 'S' in the wordmark on all sides. No other visual elements, text, or edges should intrude into this zone.</w:t>
      </w:r>
    </w:p>
    <w:p>
      <w:pPr>
        <w:spacing w:after="160" w:before="300"/>
      </w:pPr>
      <w:r>
        <w:rPr>
          <w:rFonts w:ascii="IBM Plex Mono" w:cs="IBM Plex Mono" w:eastAsia="IBM Plex Mono" w:hAnsi="IBM Plex Mono"/>
          <w:b/>
          <w:bCs/>
          <w:color w:val="E8A912"/>
          <w:spacing w:val="120"/>
          <w:sz w:val="18"/>
          <w:szCs w:val="18"/>
        </w:rPr>
        <w:t xml:space="preserve">DO NOT</w:t>
      </w:r>
    </w:p>
    <w:p>
      <w:pPr>
        <w:spacing w:after="140"/>
      </w:pPr>
      <w:r>
        <w:rPr>
          <w:rFonts w:ascii="Arial" w:cs="Arial" w:eastAsia="Arial" w:hAnsi="Arial"/>
          <w:color w:val="9E9888"/>
          <w:sz w:val="22"/>
          <w:szCs w:val="22"/>
        </w:rPr>
        <w:t xml:space="preserve">Do not rotate, stretch, skew, or distort the logo.</w:t>
      </w:r>
    </w:p>
    <w:p>
      <w:pPr>
        <w:spacing w:after="140"/>
      </w:pPr>
      <w:r>
        <w:rPr>
          <w:rFonts w:ascii="Arial" w:cs="Arial" w:eastAsia="Arial" w:hAnsi="Arial"/>
          <w:color w:val="9E9888"/>
          <w:sz w:val="22"/>
          <w:szCs w:val="22"/>
        </w:rPr>
        <w:t xml:space="preserve">Do not recolor the waveform mark or wordmark.</w:t>
      </w:r>
    </w:p>
    <w:p>
      <w:pPr>
        <w:spacing w:after="140"/>
      </w:pPr>
      <w:r>
        <w:rPr>
          <w:rFonts w:ascii="Arial" w:cs="Arial" w:eastAsia="Arial" w:hAnsi="Arial"/>
          <w:color w:val="9E9888"/>
          <w:sz w:val="22"/>
          <w:szCs w:val="22"/>
        </w:rPr>
        <w:t xml:space="preserve">Do not add drop shadows, glows, or outlines.</w:t>
      </w:r>
    </w:p>
    <w:p>
      <w:pPr>
        <w:spacing w:after="140"/>
      </w:pPr>
      <w:r>
        <w:rPr>
          <w:rFonts w:ascii="Arial" w:cs="Arial" w:eastAsia="Arial" w:hAnsi="Arial"/>
          <w:color w:val="9E9888"/>
          <w:sz w:val="22"/>
          <w:szCs w:val="22"/>
        </w:rPr>
        <w:t xml:space="preserve">Do not place on busy or photographic backgrounds without a solid backing.</w:t>
      </w:r>
    </w:p>
    <w:p>
      <w:pPr>
        <w:spacing w:after="140"/>
      </w:pPr>
      <w:r>
        <w:rPr>
          <w:rFonts w:ascii="Arial" w:cs="Arial" w:eastAsia="Arial" w:hAnsi="Arial"/>
          <w:color w:val="9E9888"/>
          <w:sz w:val="22"/>
          <w:szCs w:val="22"/>
        </w:rPr>
        <w:t xml:space="preserve">Do not alter the waveform bar shapes or spacing.</w:t>
      </w:r>
    </w:p>
    <w:p>
      <w:pPr>
        <w:spacing w:after="140"/>
      </w:pPr>
      <w:r>
        <w:rPr>
          <w:rFonts w:ascii="Arial" w:cs="Arial" w:eastAsia="Arial" w:hAnsi="Arial"/>
          <w:color w:val="9E9888"/>
          <w:sz w:val="22"/>
          <w:szCs w:val="22"/>
        </w:rPr>
        <w:t xml:space="preserve">Do not animate the waveform in any context other than the product UI.</w:t>
      </w:r>
    </w:p>
    <w:p>
      <w:pPr>
        <w:spacing w:after="140"/>
      </w:pPr>
      <w:r>
        <w:rPr>
          <w:rFonts w:ascii="Arial" w:cs="Arial" w:eastAsia="Arial" w:hAnsi="Arial"/>
          <w:color w:val="9E9888"/>
          <w:sz w:val="22"/>
          <w:szCs w:val="22"/>
        </w:rPr>
        <w:t xml:space="preserve">Do not use the wordmark without the waveform mark.</w:t>
      </w:r>
    </w:p>
    <w:p>
      <w:pPr>
        <w:spacing w:after="140"/>
      </w:pPr>
      <w:r>
        <w:rPr>
          <w:rFonts w:ascii="Arial" w:cs="Arial" w:eastAsia="Arial" w:hAnsi="Arial"/>
          <w:color w:val="9E9888"/>
          <w:sz w:val="22"/>
          <w:szCs w:val="22"/>
        </w:rPr>
        <w:t xml:space="preserve">Do not recreate the waveform from different audio — the mark is derived from a specific track.</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03</w:t>
      </w:r>
      <w:r>
        <w:rPr>
          <w:rFonts w:ascii="IBM Plex Mono" w:cs="IBM Plex Mono" w:eastAsia="IBM Plex Mono" w:hAnsi="IBM Plex Mono"/>
          <w:color w:val="9E9888"/>
          <w:spacing w:val="80"/>
          <w:sz w:val="20"/>
          <w:szCs w:val="20"/>
        </w:rPr>
        <w:t xml:space="preserve">  COLOR</w:t>
      </w:r>
    </w:p>
    <w:p>
      <w:pPr>
        <w:spacing w:after="300" w:before="200"/>
      </w:pPr>
      <w:r>
        <w:rPr>
          <w:rFonts w:ascii="Arial" w:cs="Arial" w:eastAsia="Arial" w:hAnsi="Arial"/>
          <w:b/>
          <w:bCs/>
          <w:color w:val="EDE8DC"/>
          <w:sz w:val="48"/>
          <w:szCs w:val="48"/>
        </w:rPr>
        <w:t xml:space="preserve">Color Palette</w:t>
      </w:r>
    </w:p>
    <w:p>
      <w:pPr>
        <w:spacing w:after="140"/>
      </w:pPr>
      <w:r>
        <w:rPr>
          <w:rFonts w:ascii="Arial" w:cs="Arial" w:eastAsia="Arial" w:hAnsi="Arial"/>
          <w:color w:val="9E9888"/>
          <w:sz w:val="22"/>
          <w:szCs w:val="22"/>
        </w:rPr>
        <w:t xml:space="preserve">The Subpulse palette is derived from CDJ hardware: amber displays on near-black enclosures. The system is deliberately narrow. Amber is the only accent color. Red is reserved exclusively for competition warnings in the product UI.</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CORE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200"/>
        <w:gridCol w:w="4660"/>
      </w:tblGrid>
      <w:tr>
        <w:tc>
          <w:tcPr>
            <w:tcW w:type="dxa" w:w="900"/>
            <w:tcBorders>
              <w:top w:val="none" w:sz="0"/>
              <w:left w:val="none" w:sz="0"/>
              <w:bottom w:val="none" w:sz="0"/>
              <w:right w:val="none" w:sz="0"/>
            </w:tcBorders>
            <w:shd w:fill="080806"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#080806</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--bg</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Primary background. Warm near-black, not pure #000.</w:t>
            </w:r>
          </w:p>
        </w:tc>
      </w:tr>
      <w:tr>
        <w:tc>
          <w:tcPr>
            <w:tcW w:type="dxa" w:w="900"/>
            <w:tcBorders>
              <w:top w:val="none" w:sz="0"/>
              <w:left w:val="none" w:sz="0"/>
              <w:bottom w:val="none" w:sz="0"/>
              <w:right w:val="none" w:sz="0"/>
            </w:tcBorders>
            <w:shd w:fill="0D0D0A"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#0D0D0A</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--bg2</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Card/surface background. Slightly elevated.</w:t>
            </w:r>
          </w:p>
        </w:tc>
      </w:tr>
      <w:tr>
        <w:tc>
          <w:tcPr>
            <w:tcW w:type="dxa" w:w="900"/>
            <w:tcBorders>
              <w:top w:val="none" w:sz="0"/>
              <w:left w:val="none" w:sz="0"/>
              <w:bottom w:val="none" w:sz="0"/>
              <w:right w:val="none" w:sz="0"/>
            </w:tcBorders>
            <w:shd w:fill="14141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#141410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--bg3</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Elevated surfaces. Modals, dropdowns.</w:t>
            </w:r>
          </w:p>
        </w:tc>
      </w:tr>
      <w:tr>
        <w:tc>
          <w:tcPr>
            <w:tcW w:type="dxa" w:w="900"/>
            <w:tcBorders>
              <w:top w:val="none" w:sz="0"/>
              <w:left w:val="none" w:sz="0"/>
              <w:bottom w:val="none" w:sz="0"/>
              <w:right w:val="none" w:sz="0"/>
            </w:tcBorders>
            <w:shd w:fill="E8A912"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#E8A912</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The one brand color. Primary accent.</w:t>
            </w:r>
          </w:p>
        </w:tc>
      </w:tr>
      <w:tr>
        <w:tc>
          <w:tcPr>
            <w:tcW w:type="dxa" w:w="900"/>
            <w:tcBorders>
              <w:top w:val="none" w:sz="0"/>
              <w:left w:val="none" w:sz="0"/>
              <w:bottom w:val="none" w:sz="0"/>
              <w:right w:val="none" w:sz="0"/>
            </w:tcBorders>
            <w:shd w:fill="EDE8DC"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#EDE8DC</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--text</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Primary text. ~14:1 contrast ratio on --bg.</w:t>
            </w:r>
          </w:p>
        </w:tc>
      </w:tr>
      <w:tr>
        <w:tc>
          <w:tcPr>
            <w:tcW w:type="dxa" w:w="900"/>
            <w:tcBorders>
              <w:top w:val="none" w:sz="0"/>
              <w:left w:val="none" w:sz="0"/>
              <w:bottom w:val="none" w:sz="0"/>
              <w:right w:val="none" w:sz="0"/>
            </w:tcBorders>
            <w:shd w:fill="9E9888"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#9E9888</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--text-dim</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Secondary text. ~5:1 contrast ratio.</w:t>
            </w:r>
          </w:p>
        </w:tc>
      </w:tr>
      <w:tr>
        <w:tc>
          <w:tcPr>
            <w:tcW w:type="dxa" w:w="900"/>
            <w:tcBorders>
              <w:top w:val="none" w:sz="0"/>
              <w:left w:val="none" w:sz="0"/>
              <w:bottom w:val="none" w:sz="0"/>
              <w:right w:val="none" w:sz="0"/>
            </w:tcBorders>
            <w:shd w:fill="5C585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#5C5850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--text-faint</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Labels only (uppercase, 14px+). ~3:1 contrast.</w:t>
            </w:r>
          </w:p>
        </w:tc>
      </w:tr>
    </w:tbl>
    <w:p>
      <w:pPr>
        <w:spacing w:after="0" w:before="200"/>
      </w:pPr>
    </w:p>
    <w:p>
      <w:pPr>
        <w:spacing w:after="160" w:before="300"/>
      </w:pPr>
      <w:r>
        <w:rPr>
          <w:rFonts w:ascii="IBM Plex Mono" w:cs="IBM Plex Mono" w:eastAsia="IBM Plex Mono" w:hAnsi="IBM Plex Mono"/>
          <w:b/>
          <w:bCs/>
          <w:color w:val="E8A912"/>
          <w:spacing w:val="120"/>
          <w:sz w:val="18"/>
          <w:szCs w:val="18"/>
        </w:rPr>
        <w:t xml:space="preserve">WAVEFORM GRADIENT</w:t>
      </w:r>
    </w:p>
    <w:p>
      <w:pPr>
        <w:spacing w:after="140"/>
      </w:pPr>
      <w:r>
        <w:rPr>
          <w:rFonts w:ascii="Arial" w:cs="Arial" w:eastAsia="Arial" w:hAnsi="Arial"/>
          <w:color w:val="9E9888"/>
          <w:sz w:val="22"/>
          <w:szCs w:val="22"/>
        </w:rPr>
        <w:t xml:space="preserve">The waveform mark uses a 7-step gradient encoded to audio amplitude. These colors are not decorative — they represent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200"/>
        <w:gridCol w:w="4660"/>
      </w:tblGrid>
      <w:tr>
        <w:tc>
          <w:tcPr>
            <w:tcW w:type="dxa" w:w="900"/>
            <w:tcBorders>
              <w:top w:val="none" w:sz="0"/>
              <w:left w:val="none" w:sz="0"/>
              <w:bottom w:val="none" w:sz="0"/>
              <w:right w:val="none" w:sz="0"/>
            </w:tcBorders>
            <w:shd w:fill="6B4A08"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#6B4A08</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--amber-1</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Lowest amplitude. Quiet passages.</w:t>
            </w:r>
          </w:p>
        </w:tc>
      </w:tr>
      <w:tr>
        <w:tc>
          <w:tcPr>
            <w:tcW w:type="dxa" w:w="900"/>
            <w:tcBorders>
              <w:top w:val="none" w:sz="0"/>
              <w:left w:val="none" w:sz="0"/>
              <w:bottom w:val="none" w:sz="0"/>
              <w:right w:val="none" w:sz="0"/>
            </w:tcBorders>
            <w:shd w:fill="8B651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#8B6510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--amber-2</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Low-mid energy.</w:t>
            </w:r>
          </w:p>
        </w:tc>
      </w:tr>
      <w:tr>
        <w:tc>
          <w:tcPr>
            <w:tcW w:type="dxa" w:w="900"/>
            <w:tcBorders>
              <w:top w:val="none" w:sz="0"/>
              <w:left w:val="none" w:sz="0"/>
              <w:bottom w:val="none" w:sz="0"/>
              <w:right w:val="none" w:sz="0"/>
            </w:tcBorders>
            <w:shd w:fill="B8860B"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#B8860B</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--amber-3</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Mid energy.</w:t>
            </w:r>
          </w:p>
        </w:tc>
      </w:tr>
      <w:tr>
        <w:tc>
          <w:tcPr>
            <w:tcW w:type="dxa" w:w="900"/>
            <w:tcBorders>
              <w:top w:val="none" w:sz="0"/>
              <w:left w:val="none" w:sz="0"/>
              <w:bottom w:val="none" w:sz="0"/>
              <w:right w:val="none" w:sz="0"/>
            </w:tcBorders>
            <w:shd w:fill="D49B1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#D49B10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--amber-4</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High-mid energy.</w:t>
            </w:r>
          </w:p>
        </w:tc>
      </w:tr>
      <w:tr>
        <w:tc>
          <w:tcPr>
            <w:tcW w:type="dxa" w:w="900"/>
            <w:tcBorders>
              <w:top w:val="none" w:sz="0"/>
              <w:left w:val="none" w:sz="0"/>
              <w:bottom w:val="none" w:sz="0"/>
              <w:right w:val="none" w:sz="0"/>
            </w:tcBorders>
            <w:shd w:fill="E8A912"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#E8A912</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--amber-5</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Primary amber. Core brand color.</w:t>
            </w:r>
          </w:p>
        </w:tc>
      </w:tr>
      <w:tr>
        <w:tc>
          <w:tcPr>
            <w:tcW w:type="dxa" w:w="900"/>
            <w:tcBorders>
              <w:top w:val="none" w:sz="0"/>
              <w:left w:val="none" w:sz="0"/>
              <w:bottom w:val="none" w:sz="0"/>
              <w:right w:val="none" w:sz="0"/>
            </w:tcBorders>
            <w:shd w:fill="F0C04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#F0C040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--amber-6</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High energy.</w:t>
            </w:r>
          </w:p>
        </w:tc>
      </w:tr>
      <w:tr>
        <w:tc>
          <w:tcPr>
            <w:tcW w:type="dxa" w:w="900"/>
            <w:tcBorders>
              <w:top w:val="none" w:sz="0"/>
              <w:left w:val="none" w:sz="0"/>
              <w:bottom w:val="none" w:sz="0"/>
              <w:right w:val="none" w:sz="0"/>
            </w:tcBorders>
            <w:shd w:fill="F5D06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#F5D060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--amber-7</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Peak amplitude. Brightest.</w:t>
            </w:r>
          </w:p>
        </w:tc>
      </w:tr>
    </w:tbl>
    <w:p>
      <w:pPr>
        <w:spacing w:after="0" w:before="200"/>
      </w:pPr>
    </w:p>
    <w:p>
      <w:pPr>
        <w:spacing w:after="160" w:before="300"/>
      </w:pPr>
      <w:r>
        <w:rPr>
          <w:rFonts w:ascii="IBM Plex Mono" w:cs="IBM Plex Mono" w:eastAsia="IBM Plex Mono" w:hAnsi="IBM Plex Mono"/>
          <w:b/>
          <w:bCs/>
          <w:color w:val="E8A912"/>
          <w:spacing w:val="120"/>
          <w:sz w:val="18"/>
          <w:szCs w:val="18"/>
        </w:rPr>
        <w:t xml:space="preserve">STATUS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200"/>
        <w:gridCol w:w="4660"/>
      </w:tblGrid>
      <w:tr>
        <w:tc>
          <w:tcPr>
            <w:tcW w:type="dxa" w:w="900"/>
            <w:tcBorders>
              <w:top w:val="none" w:sz="0"/>
              <w:left w:val="none" w:sz="0"/>
              <w:bottom w:val="none" w:sz="0"/>
              <w:right w:val="none" w:sz="0"/>
            </w:tcBorders>
            <w:shd w:fill="52C97A"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#52C97A</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--green</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Positive: available, confirmed, safe to book.</w:t>
            </w:r>
          </w:p>
        </w:tc>
      </w:tr>
      <w:tr>
        <w:tc>
          <w:tcPr>
            <w:tcW w:type="dxa" w:w="900"/>
            <w:tcBorders>
              <w:top w:val="none" w:sz="0"/>
              <w:left w:val="none" w:sz="0"/>
              <w:bottom w:val="none" w:sz="0"/>
              <w:right w:val="none" w:sz="0"/>
            </w:tcBorders>
            <w:shd w:fill="E06060" w:val="clear"/>
            <w:tcMar>
              <w:top w:type="dxa" w:w="80"/>
              <w:left w:type="dxa" w:w="80"/>
              <w:bottom w:type="dxa" w:w="80"/>
              <w:right w:type="dxa" w:w="80"/>
            </w:tcMar>
          </w:tcPr>
          <w:p>
            <w:r>
              <w:rPr>
                <w:sz w:val="16"/>
                <w:szCs w:val="16"/>
              </w:rPr>
              <w:t xml:space="preserve"> </w:t>
            </w:r>
          </w:p>
        </w:tc>
        <w:tc>
          <w:tcPr>
            <w:tcW w:type="dxa" w:w="1600"/>
            <w:tcBorders>
              <w:top w:val="none" w:sz="0"/>
              <w:left w:val="none" w:sz="0"/>
              <w:bottom w:val="none" w:sz="0"/>
              <w:right w:val="none" w:sz="0"/>
            </w:tcBorders>
            <w:tcMar>
              <w:top w:type="dxa" w:w="80"/>
              <w:left w:type="dxa" w:w="120"/>
              <w:bottom w:type="dxa" w:w="80"/>
              <w:right w:type="dxa" w:w="80"/>
            </w:tcMar>
          </w:tcPr>
          <w:p>
            <w:r>
              <w:rPr>
                <w:rFonts w:ascii="IBM Plex Mono" w:cs="IBM Plex Mono" w:eastAsia="IBM Plex Mono" w:hAnsi="IBM Plex Mono"/>
                <w:color w:val="EDE8DC"/>
                <w:sz w:val="20"/>
                <w:szCs w:val="20"/>
              </w:rPr>
              <w:t xml:space="preserve">#E06060</w:t>
            </w:r>
          </w:p>
        </w:tc>
        <w:tc>
          <w:tcPr>
            <w:tcW w:type="dxa" w:w="22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18"/>
                <w:szCs w:val="18"/>
              </w:rPr>
              <w:t xml:space="preserve">--red</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RESERVED: competition warnings ONLY. Never decorative.</w:t>
            </w:r>
          </w:p>
        </w:tc>
      </w:tr>
    </w:tbl>
    <w:p>
      <w:pPr>
        <w:spacing w:after="0" w:before="100"/>
      </w:pPr>
    </w:p>
    <w:p>
      <w:pPr>
        <w:spacing w:after="160" w:before="300"/>
      </w:pPr>
      <w:r>
        <w:rPr>
          <w:rFonts w:ascii="IBM Plex Mono" w:cs="IBM Plex Mono" w:eastAsia="IBM Plex Mono" w:hAnsi="IBM Plex Mono"/>
          <w:b/>
          <w:bCs/>
          <w:color w:val="E8A912"/>
          <w:spacing w:val="120"/>
          <w:sz w:val="18"/>
          <w:szCs w:val="18"/>
        </w:rPr>
        <w:t xml:space="preserve">CRITICAL RULE: RED IS RESERVED</w:t>
      </w:r>
    </w:p>
    <w:p>
      <w:pPr>
        <w:spacing w:after="140"/>
      </w:pPr>
      <w:r>
        <w:rPr>
          <w:rFonts w:ascii="Arial" w:cs="Arial" w:eastAsia="Arial" w:hAnsi="Arial"/>
          <w:color w:val="9E9888"/>
          <w:sz w:val="22"/>
          <w:szCs w:val="22"/>
        </w:rPr>
        <w:t xml:space="preserve">Red (#E06060) appears exclusively in the product UI to indicate genuine scheduling conflicts and competition threats. It is never used in marketing, branding, social media, or any other context. This constraint ensures that when a booker sees red, it means something.</w:t>
      </w:r>
    </w:p>
    <w:p>
      <w:pPr>
        <w:spacing w:after="160" w:before="300"/>
      </w:pPr>
      <w:r>
        <w:rPr>
          <w:rFonts w:ascii="IBM Plex Mono" w:cs="IBM Plex Mono" w:eastAsia="IBM Plex Mono" w:hAnsi="IBM Plex Mono"/>
          <w:b/>
          <w:bCs/>
          <w:color w:val="E8A912"/>
          <w:spacing w:val="120"/>
          <w:sz w:val="18"/>
          <w:szCs w:val="18"/>
        </w:rPr>
        <w:t xml:space="preserve">CONTRAST REQUIREMENTS</w:t>
      </w:r>
    </w:p>
    <w:p>
      <w:pPr>
        <w:spacing w:after="140"/>
      </w:pPr>
      <w:r>
        <w:rPr>
          <w:rFonts w:ascii="Arial" w:cs="Arial" w:eastAsia="Arial" w:hAnsi="Arial"/>
          <w:color w:val="9E9888"/>
          <w:sz w:val="22"/>
          <w:szCs w:val="22"/>
        </w:rPr>
        <w:t xml:space="preserve">All text must meet WCAG AA: 4.5:1 for normal text, 3:1 for large text (18px+ or 14px+ bold). Never use rgba opacity for text. Always use explicit hex values.</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04</w:t>
      </w:r>
      <w:r>
        <w:rPr>
          <w:rFonts w:ascii="IBM Plex Mono" w:cs="IBM Plex Mono" w:eastAsia="IBM Plex Mono" w:hAnsi="IBM Plex Mono"/>
          <w:color w:val="9E9888"/>
          <w:spacing w:val="80"/>
          <w:sz w:val="20"/>
          <w:szCs w:val="20"/>
        </w:rPr>
        <w:t xml:space="preserve">  TYPOGRAPHY</w:t>
      </w:r>
    </w:p>
    <w:p>
      <w:pPr>
        <w:spacing w:after="300" w:before="200"/>
      </w:pPr>
      <w:r>
        <w:rPr>
          <w:rFonts w:ascii="Arial" w:cs="Arial" w:eastAsia="Arial" w:hAnsi="Arial"/>
          <w:b/>
          <w:bCs/>
          <w:color w:val="EDE8DC"/>
          <w:sz w:val="48"/>
          <w:szCs w:val="48"/>
        </w:rPr>
        <w:t xml:space="preserve">Type System</w:t>
      </w:r>
    </w:p>
    <w:p>
      <w:pPr>
        <w:spacing w:after="140"/>
      </w:pPr>
      <w:r>
        <w:rPr>
          <w:rFonts w:ascii="Arial" w:cs="Arial" w:eastAsia="Arial" w:hAnsi="Arial"/>
          <w:color w:val="9E9888"/>
          <w:sz w:val="22"/>
          <w:szCs w:val="22"/>
        </w:rPr>
        <w:t xml:space="preserve">Four typefaces, each with a specific role. All available free via Google Fonts. No paid licenses required.</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c>
          <w:tcPr>
            <w:tcW w:type="dxa" w:w="3200"/>
            <w:tcBorders>
              <w:top w:val="none" w:sz="0"/>
              <w:left w:val="none" w:sz="0"/>
              <w:bottom w:val="none" w:sz="0"/>
              <w:right w:val="none" w:sz="0"/>
            </w:tcBorders>
            <w:tcMar>
              <w:top w:type="dxa" w:w="80"/>
              <w:left w:type="dxa" w:w="80"/>
              <w:bottom w:type="dxa" w:w="80"/>
              <w:right w:type="dxa" w:w="80"/>
            </w:tcMar>
          </w:tcPr>
          <w:p>
            <w:r>
              <w:rPr>
                <w:rFonts w:ascii="Arial" w:cs="Arial" w:eastAsia="Arial" w:hAnsi="Arial"/>
                <w:b/>
                <w:bCs/>
                <w:color w:val="EDE8DC"/>
                <w:sz w:val="22"/>
                <w:szCs w:val="22"/>
              </w:rPr>
              <w:t xml:space="preserve">Orbitron</w:t>
            </w:r>
          </w:p>
        </w:tc>
        <w:tc>
          <w:tcPr>
            <w:tcW w:type="dxa" w:w="15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20"/>
                <w:szCs w:val="20"/>
              </w:rPr>
              <w:t xml:space="preserve">500</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Logo wordmark ONLY. Never used elsewhere.</w:t>
            </w:r>
          </w:p>
        </w:tc>
      </w:tr>
      <w:tr>
        <w:tc>
          <w:tcPr>
            <w:tcW w:type="dxa" w:w="3200"/>
            <w:tcBorders>
              <w:top w:val="none" w:sz="0"/>
              <w:left w:val="none" w:sz="0"/>
              <w:bottom w:val="none" w:sz="0"/>
              <w:right w:val="none" w:sz="0"/>
            </w:tcBorders>
            <w:tcMar>
              <w:top w:type="dxa" w:w="80"/>
              <w:left w:type="dxa" w:w="80"/>
              <w:bottom w:type="dxa" w:w="80"/>
              <w:right w:type="dxa" w:w="80"/>
            </w:tcMar>
          </w:tcPr>
          <w:p>
            <w:r>
              <w:rPr>
                <w:rFonts w:ascii="Arial" w:cs="Arial" w:eastAsia="Arial" w:hAnsi="Arial"/>
                <w:b/>
                <w:bCs/>
                <w:color w:val="EDE8DC"/>
                <w:sz w:val="22"/>
                <w:szCs w:val="22"/>
              </w:rPr>
              <w:t xml:space="preserve">Barlow Condensed</w:t>
            </w:r>
          </w:p>
        </w:tc>
        <w:tc>
          <w:tcPr>
            <w:tcW w:type="dxa" w:w="15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20"/>
                <w:szCs w:val="20"/>
              </w:rPr>
              <w:t xml:space="preserve">600-800</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Headings, artist names, hero numbers, display text.</w:t>
            </w:r>
          </w:p>
        </w:tc>
      </w:tr>
      <w:tr>
        <w:tc>
          <w:tcPr>
            <w:tcW w:type="dxa" w:w="3200"/>
            <w:tcBorders>
              <w:top w:val="none" w:sz="0"/>
              <w:left w:val="none" w:sz="0"/>
              <w:bottom w:val="none" w:sz="0"/>
              <w:right w:val="none" w:sz="0"/>
            </w:tcBorders>
            <w:tcMar>
              <w:top w:type="dxa" w:w="80"/>
              <w:left w:type="dxa" w:w="80"/>
              <w:bottom w:type="dxa" w:w="80"/>
              <w:right w:type="dxa" w:w="80"/>
            </w:tcMar>
          </w:tcPr>
          <w:p>
            <w:r>
              <w:rPr>
                <w:rFonts w:ascii="Arial" w:cs="Arial" w:eastAsia="Arial" w:hAnsi="Arial"/>
                <w:b/>
                <w:bCs/>
                <w:color w:val="EDE8DC"/>
                <w:sz w:val="22"/>
                <w:szCs w:val="22"/>
              </w:rPr>
              <w:t xml:space="preserve">IBM Plex Mono</w:t>
            </w:r>
          </w:p>
        </w:tc>
        <w:tc>
          <w:tcPr>
            <w:tcW w:type="dxa" w:w="15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20"/>
                <w:szCs w:val="20"/>
              </w:rPr>
              <w:t xml:space="preserve">400-700</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Data labels, timestamps, badges, navigation, tagline.</w:t>
            </w:r>
          </w:p>
        </w:tc>
      </w:tr>
      <w:tr>
        <w:tc>
          <w:tcPr>
            <w:tcW w:type="dxa" w:w="3200"/>
            <w:tcBorders>
              <w:top w:val="none" w:sz="0"/>
              <w:left w:val="none" w:sz="0"/>
              <w:bottom w:val="none" w:sz="0"/>
              <w:right w:val="none" w:sz="0"/>
            </w:tcBorders>
            <w:tcMar>
              <w:top w:type="dxa" w:w="80"/>
              <w:left w:type="dxa" w:w="80"/>
              <w:bottom w:type="dxa" w:w="80"/>
              <w:right w:type="dxa" w:w="80"/>
            </w:tcMar>
          </w:tcPr>
          <w:p>
            <w:r>
              <w:rPr>
                <w:rFonts w:ascii="Arial" w:cs="Arial" w:eastAsia="Arial" w:hAnsi="Arial"/>
                <w:b/>
                <w:bCs/>
                <w:color w:val="EDE8DC"/>
                <w:sz w:val="22"/>
                <w:szCs w:val="22"/>
              </w:rPr>
              <w:t xml:space="preserve">Inter</w:t>
            </w:r>
          </w:p>
        </w:tc>
        <w:tc>
          <w:tcPr>
            <w:tcW w:type="dxa" w:w="1500"/>
            <w:tcBorders>
              <w:top w:val="none" w:sz="0"/>
              <w:left w:val="none" w:sz="0"/>
              <w:bottom w:val="none" w:sz="0"/>
              <w:right w:val="none" w:sz="0"/>
            </w:tcBorders>
            <w:tcMar>
              <w:top w:type="dxa" w:w="80"/>
              <w:left w:type="dxa" w:w="80"/>
              <w:bottom w:type="dxa" w:w="80"/>
              <w:right w:type="dxa" w:w="80"/>
            </w:tcMar>
          </w:tcPr>
          <w:p>
            <w:r>
              <w:rPr>
                <w:rFonts w:ascii="IBM Plex Mono" w:cs="IBM Plex Mono" w:eastAsia="IBM Plex Mono" w:hAnsi="IBM Plex Mono"/>
                <w:color w:val="E8A912"/>
                <w:sz w:val="20"/>
                <w:szCs w:val="20"/>
              </w:rPr>
              <w:t xml:space="preserve">400-600</w:t>
            </w:r>
          </w:p>
        </w:tc>
        <w:tc>
          <w:tcPr>
            <w:tcW w:type="dxa" w:w="4660"/>
            <w:tcBorders>
              <w:top w:val="none" w:sz="0"/>
              <w:left w:val="none" w:sz="0"/>
              <w:bottom w:val="none" w:sz="0"/>
              <w:right w:val="none" w:sz="0"/>
            </w:tcBorders>
            <w:tcMar>
              <w:top w:type="dxa" w:w="80"/>
              <w:left w:type="dxa" w:w="80"/>
              <w:bottom w:type="dxa" w:w="80"/>
              <w:right w:type="dxa" w:w="80"/>
            </w:tcMar>
          </w:tcPr>
          <w:p>
            <w:r>
              <w:rPr>
                <w:rFonts w:ascii="Arial" w:cs="Arial" w:eastAsia="Arial" w:hAnsi="Arial"/>
                <w:color w:val="9E9888"/>
                <w:sz w:val="20"/>
                <w:szCs w:val="20"/>
              </w:rPr>
              <w:t xml:space="preserve">Body text, descriptions, longer prose.</w:t>
            </w:r>
          </w:p>
        </w:tc>
      </w:tr>
    </w:tbl>
    <w:p>
      <w:pPr>
        <w:spacing w:after="0" w:before="200"/>
      </w:pPr>
    </w:p>
    <w:p>
      <w:pPr>
        <w:spacing w:after="160" w:before="300"/>
      </w:pPr>
      <w:r>
        <w:rPr>
          <w:rFonts w:ascii="IBM Plex Mono" w:cs="IBM Plex Mono" w:eastAsia="IBM Plex Mono" w:hAnsi="IBM Plex Mono"/>
          <w:b/>
          <w:bCs/>
          <w:color w:val="E8A912"/>
          <w:spacing w:val="120"/>
          <w:sz w:val="18"/>
          <w:szCs w:val="18"/>
        </w:rPr>
        <w:t xml:space="preserve">LOGO WORDMARK: ORBITRON 500</w:t>
      </w:r>
    </w:p>
    <w:p>
      <w:pPr>
        <w:spacing w:after="140"/>
      </w:pPr>
      <w:r>
        <w:rPr>
          <w:rFonts w:ascii="Arial" w:cs="Arial" w:eastAsia="Arial" w:hAnsi="Arial"/>
          <w:color w:val="9E9888"/>
          <w:sz w:val="22"/>
          <w:szCs w:val="22"/>
        </w:rPr>
        <w:t xml:space="preserve">Used exclusively for the SUBPULSE wordmark in the logo lockup. All caps. Letter-spacing 3-4px. This font is never used for headings, body text, buttons, or any other element. Its exclusivity to the logo preserves its visual authority.</w:t>
      </w:r>
    </w:p>
    <w:p>
      <w:pPr>
        <w:spacing w:after="160" w:before="300"/>
      </w:pPr>
      <w:r>
        <w:rPr>
          <w:rFonts w:ascii="IBM Plex Mono" w:cs="IBM Plex Mono" w:eastAsia="IBM Plex Mono" w:hAnsi="IBM Plex Mono"/>
          <w:b/>
          <w:bCs/>
          <w:color w:val="E8A912"/>
          <w:spacing w:val="120"/>
          <w:sz w:val="18"/>
          <w:szCs w:val="18"/>
        </w:rPr>
        <w:t xml:space="preserve">DISPLAY: BARLOW CONDENSED</w:t>
      </w:r>
    </w:p>
    <w:p>
      <w:pPr>
        <w:spacing w:after="140"/>
      </w:pPr>
      <w:r>
        <w:rPr>
          <w:rFonts w:ascii="Arial" w:cs="Arial" w:eastAsia="Arial" w:hAnsi="Arial"/>
          <w:color w:val="9E9888"/>
          <w:sz w:val="22"/>
          <w:szCs w:val="22"/>
        </w:rPr>
        <w:t xml:space="preserve">Used for headings, section titles, artist names, hero statistics, and any large display text in the product and marketing. Available in weights 600 (semibold), 700 (bold), and 800 (extrabold). The condensed width allows more information density without sacrificing readability.</w:t>
      </w:r>
    </w:p>
    <w:p>
      <w:pPr>
        <w:spacing w:after="160" w:before="300"/>
      </w:pPr>
      <w:r>
        <w:rPr>
          <w:rFonts w:ascii="IBM Plex Mono" w:cs="IBM Plex Mono" w:eastAsia="IBM Plex Mono" w:hAnsi="IBM Plex Mono"/>
          <w:b/>
          <w:bCs/>
          <w:color w:val="E8A912"/>
          <w:spacing w:val="120"/>
          <w:sz w:val="18"/>
          <w:szCs w:val="18"/>
        </w:rPr>
        <w:t xml:space="preserve">DATA: IBM PLEX MONO</w:t>
      </w:r>
    </w:p>
    <w:p>
      <w:pPr>
        <w:spacing w:after="140"/>
      </w:pPr>
      <w:r>
        <w:rPr>
          <w:rFonts w:ascii="Arial" w:cs="Arial" w:eastAsia="Arial" w:hAnsi="Arial"/>
          <w:color w:val="9E9888"/>
          <w:sz w:val="22"/>
          <w:szCs w:val="22"/>
        </w:rPr>
        <w:t xml:space="preserve">The monospaced workhorse. Used for all data-related text: timestamps, genre tags, event counts, navigation labels, status badges, and the 'subpulse.fm' tagline. Its fixed-width characters align data naturally in columns and tables.</w:t>
      </w:r>
    </w:p>
    <w:p>
      <w:pPr>
        <w:spacing w:after="160" w:before="300"/>
      </w:pPr>
      <w:r>
        <w:rPr>
          <w:rFonts w:ascii="IBM Plex Mono" w:cs="IBM Plex Mono" w:eastAsia="IBM Plex Mono" w:hAnsi="IBM Plex Mono"/>
          <w:b/>
          <w:bCs/>
          <w:color w:val="E8A912"/>
          <w:spacing w:val="120"/>
          <w:sz w:val="18"/>
          <w:szCs w:val="18"/>
        </w:rPr>
        <w:t xml:space="preserve">BODY: INTER</w:t>
      </w:r>
    </w:p>
    <w:p>
      <w:pPr>
        <w:spacing w:after="140"/>
      </w:pPr>
      <w:r>
        <w:rPr>
          <w:rFonts w:ascii="Arial" w:cs="Arial" w:eastAsia="Arial" w:hAnsi="Arial"/>
          <w:color w:val="9E9888"/>
          <w:sz w:val="22"/>
          <w:szCs w:val="22"/>
        </w:rPr>
        <w:t xml:space="preserve">Clean, highly legible sans-serif for body copy, descriptions, tooltips, and longer prose. Used in weights 400 (regular), 500 (medium), and 600 (semibold). Do not use above 600 weight.</w:t>
      </w:r>
    </w:p>
    <w:p>
      <w:pPr>
        <w:spacing w:after="160" w:before="300"/>
      </w:pPr>
      <w:r>
        <w:rPr>
          <w:rFonts w:ascii="IBM Plex Mono" w:cs="IBM Plex Mono" w:eastAsia="IBM Plex Mono" w:hAnsi="IBM Plex Mono"/>
          <w:b/>
          <w:bCs/>
          <w:color w:val="E8A912"/>
          <w:spacing w:val="120"/>
          <w:sz w:val="18"/>
          <w:szCs w:val="18"/>
        </w:rPr>
        <w:t xml:space="preserve">LOADING</w:t>
      </w:r>
    </w:p>
    <w:p>
      <w:pPr>
        <w:spacing w:after="100"/>
      </w:pPr>
      <w:r>
        <w:rPr>
          <w:rFonts w:ascii="IBM Plex Mono" w:cs="IBM Plex Mono" w:eastAsia="IBM Plex Mono" w:hAnsi="IBM Plex Mono"/>
          <w:color w:val="E8A912"/>
          <w:sz w:val="20"/>
          <w:szCs w:val="20"/>
        </w:rPr>
        <w:t xml:space="preserve">fonts.googleapis.com/css2?family=Orbitron:wght@500</w:t>
      </w:r>
    </w:p>
    <w:p>
      <w:pPr>
        <w:spacing w:after="100"/>
      </w:pPr>
      <w:r>
        <w:rPr>
          <w:rFonts w:ascii="IBM Plex Mono" w:cs="IBM Plex Mono" w:eastAsia="IBM Plex Mono" w:hAnsi="IBM Plex Mono"/>
          <w:color w:val="E8A912"/>
          <w:sz w:val="20"/>
          <w:szCs w:val="20"/>
        </w:rPr>
        <w:t xml:space="preserve">fonts.googleapis.com/css2?family=Barlow+Condensed:wght@600;700;800</w:t>
      </w:r>
    </w:p>
    <w:p>
      <w:pPr>
        <w:spacing w:after="100"/>
      </w:pPr>
      <w:r>
        <w:rPr>
          <w:rFonts w:ascii="IBM Plex Mono" w:cs="IBM Plex Mono" w:eastAsia="IBM Plex Mono" w:hAnsi="IBM Plex Mono"/>
          <w:color w:val="E8A912"/>
          <w:sz w:val="20"/>
          <w:szCs w:val="20"/>
        </w:rPr>
        <w:t xml:space="preserve">fonts.googleapis.com/css2?family=IBM+Plex+Mono:wght@400;500;700</w:t>
      </w:r>
    </w:p>
    <w:p>
      <w:pPr>
        <w:spacing w:after="100"/>
      </w:pPr>
      <w:r>
        <w:rPr>
          <w:rFonts w:ascii="IBM Plex Mono" w:cs="IBM Plex Mono" w:eastAsia="IBM Plex Mono" w:hAnsi="IBM Plex Mono"/>
          <w:color w:val="E8A912"/>
          <w:sz w:val="20"/>
          <w:szCs w:val="20"/>
        </w:rPr>
        <w:t xml:space="preserve">fonts.googleapis.com/css2?family=Inter:wght@400;500;600</w:t>
      </w:r>
    </w:p>
    <w:p>
      <w:pPr>
        <w:spacing w:after="160" w:before="300"/>
      </w:pPr>
      <w:r>
        <w:rPr>
          <w:rFonts w:ascii="IBM Plex Mono" w:cs="IBM Plex Mono" w:eastAsia="IBM Plex Mono" w:hAnsi="IBM Plex Mono"/>
          <w:b/>
          <w:bCs/>
          <w:color w:val="E8A912"/>
          <w:spacing w:val="120"/>
          <w:sz w:val="18"/>
          <w:szCs w:val="18"/>
        </w:rPr>
        <w:t xml:space="preserve">FONT FILES</w:t>
      </w:r>
    </w:p>
    <w:p>
      <w:pPr>
        <w:spacing w:after="140"/>
      </w:pPr>
      <w:r>
        <w:rPr>
          <w:rFonts w:ascii="Arial" w:cs="Arial" w:eastAsia="Arial" w:hAnsi="Arial"/>
          <w:color w:val="9E9888"/>
          <w:sz w:val="22"/>
          <w:szCs w:val="22"/>
        </w:rPr>
        <w:t xml:space="preserve">Orbitron TTF files are included in the brand asset package (orbitron-font/static/). Install locally for use in Figma, Illustrator, and other design tools.</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05</w:t>
      </w:r>
      <w:r>
        <w:rPr>
          <w:rFonts w:ascii="IBM Plex Mono" w:cs="IBM Plex Mono" w:eastAsia="IBM Plex Mono" w:hAnsi="IBM Plex Mono"/>
          <w:color w:val="9E9888"/>
          <w:spacing w:val="80"/>
          <w:sz w:val="20"/>
          <w:szCs w:val="20"/>
        </w:rPr>
        <w:t xml:space="preserve">  DESIGN PRINCIPLES</w:t>
      </w:r>
    </w:p>
    <w:p>
      <w:pPr>
        <w:spacing w:after="300" w:before="200"/>
      </w:pPr>
      <w:r>
        <w:rPr>
          <w:rFonts w:ascii="Arial" w:cs="Arial" w:eastAsia="Arial" w:hAnsi="Arial"/>
          <w:b/>
          <w:bCs/>
          <w:color w:val="EDE8DC"/>
          <w:sz w:val="48"/>
          <w:szCs w:val="48"/>
        </w:rPr>
        <w:t xml:space="preserve">Visual Language</w:t>
      </w:r>
    </w:p>
    <w:p>
      <w:pPr>
        <w:spacing w:after="160" w:before="300"/>
      </w:pPr>
      <w:r>
        <w:rPr>
          <w:rFonts w:ascii="IBM Plex Mono" w:cs="IBM Plex Mono" w:eastAsia="IBM Plex Mono" w:hAnsi="IBM Plex Mono"/>
          <w:b/>
          <w:bCs/>
          <w:color w:val="E8A912"/>
          <w:spacing w:val="120"/>
          <w:sz w:val="18"/>
          <w:szCs w:val="18"/>
        </w:rPr>
        <w:t xml:space="preserve">AESTHETIC DIRECTION</w:t>
      </w:r>
    </w:p>
    <w:p>
      <w:pPr>
        <w:spacing w:after="140"/>
      </w:pPr>
      <w:r>
        <w:rPr>
          <w:rFonts w:ascii="Arial" w:cs="Arial" w:eastAsia="Arial" w:hAnsi="Arial"/>
          <w:color w:val="9E9888"/>
          <w:sz w:val="22"/>
          <w:szCs w:val="22"/>
        </w:rPr>
        <w:t xml:space="preserve">Analog equipment meets old club flyers. The visual language references Peter Saville / Factory Records, early Tresor / Berghain identity, vintage synthesizer panels (Juno-106, TR-808), and 1990s European techno flyers. This is a record shop run by someone with impeccable taste — sparse, confident, every element earned.</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RULES</w:t>
      </w:r>
    </w:p>
    <w:p>
      <w:pPr>
        <w:spacing w:after="80"/>
      </w:pPr>
      <w:r>
        <w:rPr>
          <w:rFonts w:ascii="Arial" w:cs="Arial" w:eastAsia="Arial" w:hAnsi="Arial"/>
          <w:b/>
          <w:bCs/>
          <w:color w:val="EDE8DC"/>
          <w:sz w:val="22"/>
          <w:szCs w:val="22"/>
        </w:rPr>
        <w:t xml:space="preserve">No gradients</w:t>
      </w:r>
    </w:p>
    <w:p>
      <w:pPr>
        <w:spacing w:after="140"/>
      </w:pPr>
      <w:r>
        <w:rPr>
          <w:rFonts w:ascii="Arial" w:cs="Arial" w:eastAsia="Arial" w:hAnsi="Arial"/>
          <w:color w:val="9E9888"/>
          <w:sz w:val="22"/>
          <w:szCs w:val="22"/>
        </w:rPr>
        <w:t xml:space="preserve">Except the waveform amplitude encoding, which is data, not decoration.</w:t>
      </w:r>
    </w:p>
    <w:p>
      <w:pPr>
        <w:spacing w:after="80"/>
      </w:pPr>
      <w:r>
        <w:rPr>
          <w:rFonts w:ascii="Arial" w:cs="Arial" w:eastAsia="Arial" w:hAnsi="Arial"/>
          <w:b/>
          <w:bCs/>
          <w:color w:val="EDE8DC"/>
          <w:sz w:val="22"/>
          <w:szCs w:val="22"/>
        </w:rPr>
        <w:t xml:space="preserve">No drop shadows</w:t>
      </w:r>
    </w:p>
    <w:p>
      <w:pPr>
        <w:spacing w:after="140"/>
      </w:pPr>
      <w:r>
        <w:rPr>
          <w:rFonts w:ascii="Arial" w:cs="Arial" w:eastAsia="Arial" w:hAnsi="Arial"/>
          <w:color w:val="9E9888"/>
          <w:sz w:val="22"/>
          <w:szCs w:val="22"/>
        </w:rPr>
        <w:t xml:space="preserve">Flat surfaces only. Depth comes from background color hierarchy (--bg, --bg2, --bg3).</w:t>
      </w:r>
    </w:p>
    <w:p>
      <w:pPr>
        <w:spacing w:after="80"/>
      </w:pPr>
      <w:r>
        <w:rPr>
          <w:rFonts w:ascii="Arial" w:cs="Arial" w:eastAsia="Arial" w:hAnsi="Arial"/>
          <w:b/>
          <w:bCs/>
          <w:color w:val="EDE8DC"/>
          <w:sz w:val="22"/>
          <w:szCs w:val="22"/>
        </w:rPr>
        <w:t xml:space="preserve">No icons</w:t>
      </w:r>
    </w:p>
    <w:p>
      <w:pPr>
        <w:spacing w:after="140"/>
      </w:pPr>
      <w:r>
        <w:rPr>
          <w:rFonts w:ascii="Arial" w:cs="Arial" w:eastAsia="Arial" w:hAnsi="Arial"/>
          <w:color w:val="9E9888"/>
          <w:sz w:val="22"/>
          <w:szCs w:val="22"/>
        </w:rPr>
        <w:t xml:space="preserve">Use text labels and spatial hierarchy to communicate. Icons add visual noise.</w:t>
      </w:r>
    </w:p>
    <w:p>
      <w:pPr>
        <w:spacing w:after="80"/>
      </w:pPr>
      <w:r>
        <w:rPr>
          <w:rFonts w:ascii="Arial" w:cs="Arial" w:eastAsia="Arial" w:hAnsi="Arial"/>
          <w:b/>
          <w:bCs/>
          <w:color w:val="EDE8DC"/>
          <w:sz w:val="22"/>
          <w:szCs w:val="22"/>
        </w:rPr>
        <w:t xml:space="preserve">Border radius: 2-6px maximum</w:t>
      </w:r>
    </w:p>
    <w:p>
      <w:pPr>
        <w:spacing w:after="140"/>
      </w:pPr>
      <w:r>
        <w:rPr>
          <w:rFonts w:ascii="Arial" w:cs="Arial" w:eastAsia="Arial" w:hAnsi="Arial"/>
          <w:color w:val="9E9888"/>
          <w:sz w:val="22"/>
          <w:szCs w:val="22"/>
        </w:rPr>
        <w:t xml:space="preserve">Usually 2px. Sharp, precise edges. Nothing rounded or playful.</w:t>
      </w:r>
    </w:p>
    <w:p>
      <w:pPr>
        <w:spacing w:after="80"/>
      </w:pPr>
      <w:r>
        <w:rPr>
          <w:rFonts w:ascii="Arial" w:cs="Arial" w:eastAsia="Arial" w:hAnsi="Arial"/>
          <w:b/>
          <w:bCs/>
          <w:color w:val="EDE8DC"/>
          <w:sz w:val="22"/>
          <w:szCs w:val="22"/>
        </w:rPr>
        <w:t xml:space="preserve">Dark because the music happens at night</w:t>
      </w:r>
    </w:p>
    <w:p>
      <w:pPr>
        <w:spacing w:after="140"/>
      </w:pPr>
      <w:r>
        <w:rPr>
          <w:rFonts w:ascii="Arial" w:cs="Arial" w:eastAsia="Arial" w:hAnsi="Arial"/>
          <w:color w:val="9E9888"/>
          <w:sz w:val="22"/>
          <w:szCs w:val="22"/>
        </w:rPr>
        <w:t xml:space="preserve">Not dark-mode for its own sake. The darkness is contextual — this is a tool used in dark venues, late at night, by people whose eyes are adjusted to low light.</w:t>
      </w:r>
    </w:p>
    <w:p>
      <w:pPr>
        <w:spacing w:after="80"/>
      </w:pPr>
      <w:r>
        <w:rPr>
          <w:rFonts w:ascii="Arial" w:cs="Arial" w:eastAsia="Arial" w:hAnsi="Arial"/>
          <w:b/>
          <w:bCs/>
          <w:color w:val="EDE8DC"/>
          <w:sz w:val="22"/>
          <w:szCs w:val="22"/>
        </w:rPr>
        <w:t xml:space="preserve">Every element earns its place</w:t>
      </w:r>
    </w:p>
    <w:p>
      <w:pPr>
        <w:spacing w:after="140"/>
      </w:pPr>
      <w:r>
        <w:rPr>
          <w:rFonts w:ascii="Arial" w:cs="Arial" w:eastAsia="Arial" w:hAnsi="Arial"/>
          <w:color w:val="9E9888"/>
          <w:sz w:val="22"/>
          <w:szCs w:val="22"/>
        </w:rPr>
        <w:t xml:space="preserve">If it does not serve the booker, remove it. Information density over decoration.</w:t>
      </w:r>
    </w:p>
    <w:p>
      <w:pPr>
        <w:spacing w:after="160" w:before="300"/>
      </w:pPr>
      <w:r>
        <w:rPr>
          <w:rFonts w:ascii="IBM Plex Mono" w:cs="IBM Plex Mono" w:eastAsia="IBM Plex Mono" w:hAnsi="IBM Plex Mono"/>
          <w:b/>
          <w:bCs/>
          <w:color w:val="E8A912"/>
          <w:spacing w:val="120"/>
          <w:sz w:val="18"/>
          <w:szCs w:val="18"/>
        </w:rPr>
        <w:t xml:space="preserve">SPACING</w:t>
      </w:r>
    </w:p>
    <w:p>
      <w:pPr>
        <w:spacing w:after="140"/>
      </w:pPr>
      <w:r>
        <w:rPr>
          <w:rFonts w:ascii="Arial" w:cs="Arial" w:eastAsia="Arial" w:hAnsi="Arial"/>
          <w:color w:val="9E9888"/>
          <w:sz w:val="22"/>
          <w:szCs w:val="22"/>
        </w:rPr>
        <w:t xml:space="preserve">Generous padding inside cards and containers (16-24px). Tight spacing between related data points (4-8px). This creates clear visual grouping without borders.</w:t>
      </w:r>
    </w:p>
    <w:p>
      <w:pPr>
        <w:spacing w:after="160" w:before="300"/>
      </w:pPr>
      <w:r>
        <w:rPr>
          <w:rFonts w:ascii="IBM Plex Mono" w:cs="IBM Plex Mono" w:eastAsia="IBM Plex Mono" w:hAnsi="IBM Plex Mono"/>
          <w:b/>
          <w:bCs/>
          <w:color w:val="E8A912"/>
          <w:spacing w:val="120"/>
          <w:sz w:val="18"/>
          <w:szCs w:val="18"/>
        </w:rPr>
        <w:t xml:space="preserve">BORDERS</w:t>
      </w:r>
    </w:p>
    <w:p>
      <w:pPr>
        <w:spacing w:after="140"/>
      </w:pPr>
      <w:r>
        <w:rPr>
          <w:rFonts w:ascii="Arial" w:cs="Arial" w:eastAsia="Arial" w:hAnsi="Arial"/>
          <w:color w:val="9E9888"/>
          <w:sz w:val="22"/>
          <w:szCs w:val="22"/>
        </w:rPr>
        <w:t xml:space="preserve">Use rgba(237,232,220,0.06) for subtle dividers. rgba(232,169,18,0.28) for amber-accented borders on active/selected states. Never use solid 1px borders on containers.</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06</w:t>
      </w:r>
      <w:r>
        <w:rPr>
          <w:rFonts w:ascii="IBM Plex Mono" w:cs="IBM Plex Mono" w:eastAsia="IBM Plex Mono" w:hAnsi="IBM Plex Mono"/>
          <w:color w:val="9E9888"/>
          <w:spacing w:val="80"/>
          <w:sz w:val="20"/>
          <w:szCs w:val="20"/>
        </w:rPr>
        <w:t xml:space="preserve">  VOICE &amp; TONE</w:t>
      </w:r>
    </w:p>
    <w:p>
      <w:pPr>
        <w:spacing w:after="300" w:before="200"/>
      </w:pPr>
      <w:r>
        <w:rPr>
          <w:rFonts w:ascii="Arial" w:cs="Arial" w:eastAsia="Arial" w:hAnsi="Arial"/>
          <w:b/>
          <w:bCs/>
          <w:color w:val="EDE8DC"/>
          <w:sz w:val="48"/>
          <w:szCs w:val="48"/>
        </w:rPr>
        <w:t xml:space="preserve">How Subpulse Speaks</w:t>
      </w:r>
    </w:p>
    <w:p>
      <w:pPr>
        <w:spacing w:after="140"/>
      </w:pPr>
      <w:r>
        <w:rPr>
          <w:rFonts w:ascii="Arial" w:cs="Arial" w:eastAsia="Arial" w:hAnsi="Arial"/>
          <w:color w:val="9E9888"/>
          <w:sz w:val="22"/>
          <w:szCs w:val="22"/>
        </w:rPr>
        <w:t xml:space="preserve">Subpulse speaks like a trusted colleague in the booth. Direct, knowledgeable, zero bullshit. Not corporate, not casual. Professional underground.</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DO</w:t>
      </w:r>
    </w:p>
    <w:p>
      <w:pPr>
        <w:spacing w:after="140"/>
      </w:pPr>
      <w:r>
        <w:rPr>
          <w:rFonts w:ascii="Arial" w:cs="Arial" w:eastAsia="Arial" w:hAnsi="Arial"/>
          <w:color w:val="EDE8DC"/>
          <w:sz w:val="22"/>
          <w:szCs w:val="22"/>
        </w:rPr>
        <w:t xml:space="preserve">Lead with data. '43 events on Saturday, 12 techno, 3 clashed within 2km.'</w:t>
      </w:r>
    </w:p>
    <w:p>
      <w:pPr>
        <w:spacing w:after="140"/>
      </w:pPr>
      <w:r>
        <w:rPr>
          <w:rFonts w:ascii="Arial" w:cs="Arial" w:eastAsia="Arial" w:hAnsi="Arial"/>
          <w:color w:val="EDE8DC"/>
          <w:sz w:val="22"/>
          <w:szCs w:val="22"/>
        </w:rPr>
        <w:t xml:space="preserve">Be specific. 'Berghain' not 'a famous club.' 'Marcel Dettmann' not 'top DJs.'</w:t>
      </w:r>
    </w:p>
    <w:p>
      <w:pPr>
        <w:spacing w:after="140"/>
      </w:pPr>
      <w:r>
        <w:rPr>
          <w:rFonts w:ascii="Arial" w:cs="Arial" w:eastAsia="Arial" w:hAnsi="Arial"/>
          <w:color w:val="EDE8DC"/>
          <w:sz w:val="22"/>
          <w:szCs w:val="22"/>
        </w:rPr>
        <w:t xml:space="preserve">Respect the booker's intelligence. They know their scene better than any algorithm.</w:t>
      </w:r>
    </w:p>
    <w:p>
      <w:pPr>
        <w:spacing w:after="140"/>
      </w:pPr>
      <w:r>
        <w:rPr>
          <w:rFonts w:ascii="Arial" w:cs="Arial" w:eastAsia="Arial" w:hAnsi="Arial"/>
          <w:color w:val="EDE8DC"/>
          <w:sz w:val="22"/>
          <w:szCs w:val="22"/>
        </w:rPr>
        <w:t xml:space="preserve">Use the language of the industry: routing, clashing, co-billing, DNA match.</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DON'T</w:t>
      </w:r>
    </w:p>
    <w:p>
      <w:pPr>
        <w:spacing w:after="140"/>
      </w:pPr>
      <w:r>
        <w:rPr>
          <w:rFonts w:ascii="Arial" w:cs="Arial" w:eastAsia="Arial" w:hAnsi="Arial"/>
          <w:color w:val="9E9888"/>
          <w:sz w:val="22"/>
          <w:szCs w:val="22"/>
        </w:rPr>
        <w:t xml:space="preserve">Don't use marketing superlatives: 'revolutionary,' 'game-changing,' 'AI-powered.'</w:t>
      </w:r>
    </w:p>
    <w:p>
      <w:pPr>
        <w:spacing w:after="140"/>
      </w:pPr>
      <w:r>
        <w:rPr>
          <w:rFonts w:ascii="Arial" w:cs="Arial" w:eastAsia="Arial" w:hAnsi="Arial"/>
          <w:color w:val="9E9888"/>
          <w:sz w:val="22"/>
          <w:szCs w:val="22"/>
        </w:rPr>
        <w:t xml:space="preserve">Don't explain electronic music culture to people who live it.</w:t>
      </w:r>
    </w:p>
    <w:p>
      <w:pPr>
        <w:spacing w:after="140"/>
      </w:pPr>
      <w:r>
        <w:rPr>
          <w:rFonts w:ascii="Arial" w:cs="Arial" w:eastAsia="Arial" w:hAnsi="Arial"/>
          <w:color w:val="9E9888"/>
          <w:sz w:val="22"/>
          <w:szCs w:val="22"/>
        </w:rPr>
        <w:t xml:space="preserve">Don't use emojis in product UI or professional communications.</w:t>
      </w:r>
    </w:p>
    <w:p>
      <w:pPr>
        <w:spacing w:after="140"/>
      </w:pPr>
      <w:r>
        <w:rPr>
          <w:rFonts w:ascii="Arial" w:cs="Arial" w:eastAsia="Arial" w:hAnsi="Arial"/>
          <w:color w:val="9E9888"/>
          <w:sz w:val="22"/>
          <w:szCs w:val="22"/>
        </w:rPr>
        <w:t xml:space="preserve">Don't say 'our algorithm' — say 'the data shows.'</w:t>
      </w:r>
    </w:p>
    <w:p>
      <w:pPr>
        <w:spacing w:after="140"/>
      </w:pPr>
      <w:r>
        <w:rPr>
          <w:rFonts w:ascii="Arial" w:cs="Arial" w:eastAsia="Arial" w:hAnsi="Arial"/>
          <w:color w:val="9E9888"/>
          <w:sz w:val="22"/>
          <w:szCs w:val="22"/>
        </w:rPr>
        <w:t xml:space="preserve">Don't buy followers. Promoters detect fake engagement instantly.</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TAGLINES</w:t>
      </w:r>
    </w:p>
    <w:p>
      <w:pPr>
        <w:spacing w:after="80"/>
      </w:pPr>
      <w:r>
        <w:rPr>
          <w:rFonts w:ascii="Arial" w:cs="Arial" w:eastAsia="Arial" w:hAnsi="Arial"/>
          <w:b/>
          <w:bCs/>
          <w:color w:val="EDE8DC"/>
          <w:sz w:val="22"/>
          <w:szCs w:val="22"/>
        </w:rPr>
        <w:t xml:space="preserve">Primary:</w:t>
      </w:r>
    </w:p>
    <w:p>
      <w:pPr>
        <w:spacing w:after="140"/>
      </w:pPr>
      <w:r>
        <w:rPr>
          <w:rFonts w:ascii="Arial" w:cs="Arial" w:eastAsia="Arial" w:hAnsi="Arial"/>
          <w:color w:val="EDE8DC"/>
          <w:sz w:val="22"/>
          <w:szCs w:val="22"/>
        </w:rPr>
        <w:t xml:space="preserve">booking intelligence</w:t>
      </w:r>
    </w:p>
    <w:p>
      <w:pPr>
        <w:spacing w:after="80"/>
      </w:pPr>
      <w:r>
        <w:rPr>
          <w:rFonts w:ascii="Arial" w:cs="Arial" w:eastAsia="Arial" w:hAnsi="Arial"/>
          <w:b/>
          <w:bCs/>
          <w:color w:val="EDE8DC"/>
          <w:sz w:val="22"/>
          <w:szCs w:val="22"/>
        </w:rPr>
        <w:t xml:space="preserve">Secondary:</w:t>
      </w:r>
    </w:p>
    <w:p>
      <w:pPr>
        <w:spacing w:after="140"/>
      </w:pPr>
      <w:r>
        <w:rPr>
          <w:rFonts w:ascii="Arial" w:cs="Arial" w:eastAsia="Arial" w:hAnsi="Arial"/>
          <w:color w:val="EDE8DC"/>
          <w:sz w:val="22"/>
          <w:szCs w:val="22"/>
        </w:rPr>
        <w:t xml:space="preserve">your city's frequency, decoded</w:t>
      </w:r>
    </w:p>
    <w:p>
      <w:pPr>
        <w:spacing w:after="80"/>
      </w:pPr>
      <w:r>
        <w:rPr>
          <w:rFonts w:ascii="Arial" w:cs="Arial" w:eastAsia="Arial" w:hAnsi="Arial"/>
          <w:b/>
          <w:bCs/>
          <w:color w:val="EDE8DC"/>
          <w:sz w:val="22"/>
          <w:szCs w:val="22"/>
        </w:rPr>
        <w:t xml:space="preserve">Tertiary:</w:t>
      </w:r>
    </w:p>
    <w:p>
      <w:pPr>
        <w:spacing w:after="140"/>
      </w:pPr>
      <w:r>
        <w:rPr>
          <w:rFonts w:ascii="Arial" w:cs="Arial" w:eastAsia="Arial" w:hAnsi="Arial"/>
          <w:color w:val="EDE8DC"/>
          <w:sz w:val="22"/>
          <w:szCs w:val="22"/>
        </w:rPr>
        <w:t xml:space="preserve">know what's on before everyone else</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07</w:t>
      </w:r>
      <w:r>
        <w:rPr>
          <w:rFonts w:ascii="IBM Plex Mono" w:cs="IBM Plex Mono" w:eastAsia="IBM Plex Mono" w:hAnsi="IBM Plex Mono"/>
          <w:color w:val="9E9888"/>
          <w:spacing w:val="80"/>
          <w:sz w:val="20"/>
          <w:szCs w:val="20"/>
        </w:rPr>
        <w:t xml:space="preserve">  SOCIAL &amp; CONTENT</w:t>
      </w:r>
    </w:p>
    <w:p>
      <w:pPr>
        <w:spacing w:after="300" w:before="200"/>
      </w:pPr>
      <w:r>
        <w:rPr>
          <w:rFonts w:ascii="Arial" w:cs="Arial" w:eastAsia="Arial" w:hAnsi="Arial"/>
          <w:b/>
          <w:bCs/>
          <w:color w:val="EDE8DC"/>
          <w:sz w:val="48"/>
          <w:szCs w:val="48"/>
        </w:rPr>
        <w:t xml:space="preserve">Instagram Strategy</w:t>
      </w:r>
    </w:p>
    <w:p>
      <w:pPr>
        <w:spacing w:after="160" w:before="300"/>
      </w:pPr>
      <w:r>
        <w:rPr>
          <w:rFonts w:ascii="IBM Plex Mono" w:cs="IBM Plex Mono" w:eastAsia="IBM Plex Mono" w:hAnsi="IBM Plex Mono"/>
          <w:b/>
          <w:bCs/>
          <w:color w:val="E8A912"/>
          <w:spacing w:val="120"/>
          <w:sz w:val="18"/>
          <w:szCs w:val="18"/>
        </w:rPr>
        <w:t xml:space="preserve">CONTENT FORMAT</w:t>
      </w:r>
    </w:p>
    <w:p>
      <w:pPr>
        <w:spacing w:after="140"/>
      </w:pPr>
      <w:r>
        <w:rPr>
          <w:rFonts w:ascii="Arial" w:cs="Arial" w:eastAsia="Arial" w:hAnsi="Arial"/>
          <w:color w:val="9E9888"/>
          <w:sz w:val="22"/>
          <w:szCs w:val="22"/>
        </w:rPr>
        <w:t xml:space="preserve">Daily RA market data visualizations rendered in the Subpulse aesthetic: amber on black, IBM Plex Mono for data, Barlow Condensed for headlines.</w:t>
      </w:r>
    </w:p>
    <w:p>
      <w:pPr>
        <w:spacing w:after="160" w:before="300"/>
      </w:pPr>
      <w:r>
        <w:rPr>
          <w:rFonts w:ascii="IBM Plex Mono" w:cs="IBM Plex Mono" w:eastAsia="IBM Plex Mono" w:hAnsi="IBM Plex Mono"/>
          <w:b/>
          <w:bCs/>
          <w:color w:val="E8A912"/>
          <w:spacing w:val="120"/>
          <w:sz w:val="18"/>
          <w:szCs w:val="18"/>
        </w:rPr>
        <w:t xml:space="preserve">EXAMPLE POSTS</w:t>
      </w:r>
    </w:p>
    <w:p>
      <w:pPr>
        <w:spacing w:after="100"/>
      </w:pPr>
      <w:r>
        <w:rPr>
          <w:rFonts w:ascii="IBM Plex Mono" w:cs="IBM Plex Mono" w:eastAsia="IBM Plex Mono" w:hAnsi="IBM Plex Mono"/>
          <w:color w:val="E8A912"/>
          <w:sz w:val="20"/>
          <w:szCs w:val="20"/>
        </w:rPr>
        <w:t xml:space="preserve">Berlin last Saturday: 43 events, 12 techno, 3 clashed within 2km</w:t>
      </w:r>
    </w:p>
    <w:p>
      <w:pPr>
        <w:spacing w:after="100"/>
      </w:pPr>
      <w:r>
        <w:rPr>
          <w:rFonts w:ascii="IBM Plex Mono" w:cs="IBM Plex Mono" w:eastAsia="IBM Plex Mono" w:hAnsi="IBM Plex Mono"/>
          <w:color w:val="E8A912"/>
          <w:sz w:val="20"/>
          <w:szCs w:val="20"/>
        </w:rPr>
        <w:t xml:space="preserve">London next Friday: 47 events scheduled. Techno density: 8 events between 10pm-2am</w:t>
      </w:r>
    </w:p>
    <w:p>
      <w:pPr>
        <w:spacing w:after="100"/>
      </w:pPr>
      <w:r>
        <w:rPr>
          <w:rFonts w:ascii="IBM Plex Mono" w:cs="IBM Plex Mono" w:eastAsia="IBM Plex Mono" w:hAnsi="IBM Plex Mono"/>
          <w:color w:val="E8A912"/>
          <w:sz w:val="20"/>
          <w:szCs w:val="20"/>
        </w:rPr>
        <w:t xml:space="preserve">Barcelona routing alert: 3 artists playing Amsterdam Friday are unbooked Saturday</w:t>
      </w:r>
    </w:p>
    <w:p>
      <w:pPr>
        <w:spacing w:after="160" w:before="300"/>
      </w:pPr>
      <w:r>
        <w:rPr>
          <w:rFonts w:ascii="IBM Plex Mono" w:cs="IBM Plex Mono" w:eastAsia="IBM Plex Mono" w:hAnsi="IBM Plex Mono"/>
          <w:b/>
          <w:bCs/>
          <w:color w:val="E8A912"/>
          <w:spacing w:val="120"/>
          <w:sz w:val="18"/>
          <w:szCs w:val="18"/>
        </w:rPr>
        <w:t xml:space="preserve">VISUAL STYLE</w:t>
      </w:r>
    </w:p>
    <w:p>
      <w:pPr>
        <w:spacing w:after="140"/>
      </w:pPr>
      <w:r>
        <w:rPr>
          <w:rFonts w:ascii="Arial" w:cs="Arial" w:eastAsia="Arial" w:hAnsi="Arial"/>
          <w:color w:val="9E9888"/>
          <w:sz w:val="22"/>
          <w:szCs w:val="22"/>
        </w:rPr>
        <w:t xml:space="preserve">Dark background (#080806). Amber data (#E8A912). Monospaced typography. No photos, no gradients, no stock imagery. Pure data visualization. The uniqueness of the content IS the marketing.</w:t>
      </w:r>
    </w:p>
    <w:p>
      <w:pPr>
        <w:spacing w:after="160" w:before="300"/>
      </w:pPr>
      <w:r>
        <w:rPr>
          <w:rFonts w:ascii="IBM Plex Mono" w:cs="IBM Plex Mono" w:eastAsia="IBM Plex Mono" w:hAnsi="IBM Plex Mono"/>
          <w:b/>
          <w:bCs/>
          <w:color w:val="E8A912"/>
          <w:spacing w:val="120"/>
          <w:sz w:val="18"/>
          <w:szCs w:val="18"/>
        </w:rPr>
        <w:t xml:space="preserve">CHANNEL: INSTAGRAM DMS</w:t>
      </w:r>
    </w:p>
    <w:p>
      <w:pPr>
        <w:spacing w:after="140"/>
      </w:pPr>
      <w:r>
        <w:rPr>
          <w:rFonts w:ascii="Arial" w:cs="Arial" w:eastAsia="Arial" w:hAnsi="Arial"/>
          <w:color w:val="9E9888"/>
          <w:sz w:val="22"/>
          <w:szCs w:val="22"/>
        </w:rPr>
        <w:t xml:space="preserve">The electronic music scene lives on Instagram, not email. Outreach happens via DM with screenshots of competitive data personalized per promoter. Cold email is dead in this market.</w:t>
      </w:r>
    </w:p>
    <w:p>
      <w:pPr>
        <w:spacing w:after="160" w:before="300"/>
      </w:pPr>
      <w:r>
        <w:rPr>
          <w:rFonts w:ascii="IBM Plex Mono" w:cs="IBM Plex Mono" w:eastAsia="IBM Plex Mono" w:hAnsi="IBM Plex Mono"/>
          <w:b/>
          <w:bCs/>
          <w:color w:val="E8A912"/>
          <w:spacing w:val="120"/>
          <w:sz w:val="18"/>
          <w:szCs w:val="18"/>
        </w:rPr>
        <w:t xml:space="preserve">CRITICAL RULE</w:t>
      </w:r>
    </w:p>
    <w:p>
      <w:pPr>
        <w:spacing w:after="140"/>
      </w:pPr>
      <w:r>
        <w:rPr>
          <w:rFonts w:ascii="Arial" w:cs="Arial" w:eastAsia="Arial" w:hAnsi="Arial"/>
          <w:color w:val="EDE8DC"/>
          <w:sz w:val="22"/>
          <w:szCs w:val="22"/>
        </w:rPr>
        <w:t xml:space="preserve">Do NOT buy followers. Promoters can smell fake engagement instantly and it permanently damages credibility. Grow organically through unique data content that nobody else publishes.</w:t>
      </w:r>
    </w:p>
    <w:p>
      <w:pPr>
        <w:sectPr>
          <w:pgSz w:w="12240" w:h="15840" w:orient="portrait"/>
          <w:pgMar w:top="1440" w:right="1440" w:bottom="1440" w:left="1440" w:header="708" w:footer="708" w:gutter="0"/>
          <w:pgNumType/>
          <w:docGrid w:linePitch="360"/>
        </w:sectPr>
      </w:pPr>
    </w:p>
    <w:p>
      <w:pPr>
        <w:spacing w:after="400" w:before="100"/>
      </w:pPr>
      <w:r>
        <w:rPr>
          <w:rFonts w:ascii="IBM Plex Mono" w:cs="IBM Plex Mono" w:eastAsia="IBM Plex Mono" w:hAnsi="IBM Plex Mono"/>
          <w:b/>
          <w:bCs/>
          <w:color w:val="E8A912"/>
          <w:spacing w:val="80"/>
          <w:sz w:val="20"/>
          <w:szCs w:val="20"/>
        </w:rPr>
        <w:t xml:space="preserve">08</w:t>
      </w:r>
      <w:r>
        <w:rPr>
          <w:rFonts w:ascii="IBM Plex Mono" w:cs="IBM Plex Mono" w:eastAsia="IBM Plex Mono" w:hAnsi="IBM Plex Mono"/>
          <w:color w:val="9E9888"/>
          <w:spacing w:val="80"/>
          <w:sz w:val="20"/>
          <w:szCs w:val="20"/>
        </w:rPr>
        <w:t xml:space="preserve">  ASSET INVENTORY</w:t>
      </w:r>
    </w:p>
    <w:p>
      <w:pPr>
        <w:spacing w:after="300" w:before="200"/>
      </w:pPr>
      <w:r>
        <w:rPr>
          <w:rFonts w:ascii="Arial" w:cs="Arial" w:eastAsia="Arial" w:hAnsi="Arial"/>
          <w:b/>
          <w:bCs/>
          <w:color w:val="EDE8DC"/>
          <w:sz w:val="48"/>
          <w:szCs w:val="48"/>
        </w:rPr>
        <w:t xml:space="preserve">Files &amp; Resources</w:t>
      </w:r>
    </w:p>
    <w:p>
      <w:pPr>
        <w:spacing w:after="160" w:before="300"/>
      </w:pPr>
      <w:r>
        <w:rPr>
          <w:rFonts w:ascii="IBM Plex Mono" w:cs="IBM Plex Mono" w:eastAsia="IBM Plex Mono" w:hAnsi="IBM Plex Mono"/>
          <w:b/>
          <w:bCs/>
          <w:color w:val="E8A912"/>
          <w:spacing w:val="120"/>
          <w:sz w:val="18"/>
          <w:szCs w:val="18"/>
        </w:rPr>
        <w:t xml:space="preserve">LOGO FILES</w:t>
      </w:r>
    </w:p>
    <w:p>
      <w:pPr>
        <w:spacing w:after="100"/>
      </w:pPr>
      <w:r>
        <w:rPr>
          <w:rFonts w:ascii="IBM Plex Mono" w:cs="IBM Plex Mono" w:eastAsia="IBM Plex Mono" w:hAnsi="IBM Plex Mono"/>
          <w:color w:val="E8A912"/>
          <w:sz w:val="20"/>
          <w:szCs w:val="20"/>
        </w:rPr>
        <w:t xml:space="preserve">subpulse-lockup-final.svg     Full horizontal lockup, vector</w:t>
      </w:r>
    </w:p>
    <w:p>
      <w:pPr>
        <w:spacing w:after="100"/>
      </w:pPr>
      <w:r>
        <w:rPr>
          <w:rFonts w:ascii="IBM Plex Mono" w:cs="IBM Plex Mono" w:eastAsia="IBM Plex Mono" w:hAnsi="IBM Plex Mono"/>
          <w:color w:val="E8A912"/>
          <w:sz w:val="20"/>
          <w:szCs w:val="20"/>
        </w:rPr>
        <w:t xml:space="preserve">subpulse-waveform.svg          Waveform mark only, vector</w:t>
      </w:r>
    </w:p>
    <w:p>
      <w:pPr>
        <w:spacing w:after="100"/>
      </w:pPr>
      <w:r>
        <w:rPr>
          <w:rFonts w:ascii="IBM Plex Mono" w:cs="IBM Plex Mono" w:eastAsia="IBM Plex Mono" w:hAnsi="IBM Plex Mono"/>
          <w:color w:val="E8A912"/>
          <w:sz w:val="20"/>
          <w:szCs w:val="20"/>
        </w:rPr>
        <w:t xml:space="preserve">subpulse-logo-generator.html   Interactive logo tool (audio → SVG)</w:t>
      </w:r>
    </w:p>
    <w:p>
      <w:pPr>
        <w:spacing w:after="0" w:before="100"/>
      </w:pPr>
    </w:p>
    <w:p>
      <w:pPr>
        <w:spacing w:after="160" w:before="300"/>
      </w:pPr>
      <w:r>
        <w:rPr>
          <w:rFonts w:ascii="IBM Plex Mono" w:cs="IBM Plex Mono" w:eastAsia="IBM Plex Mono" w:hAnsi="IBM Plex Mono"/>
          <w:b/>
          <w:bCs/>
          <w:color w:val="E8A912"/>
          <w:spacing w:val="120"/>
          <w:sz w:val="18"/>
          <w:szCs w:val="18"/>
        </w:rPr>
        <w:t xml:space="preserve">FONT FILES</w:t>
      </w:r>
    </w:p>
    <w:p>
      <w:pPr>
        <w:spacing w:after="100"/>
      </w:pPr>
      <w:r>
        <w:rPr>
          <w:rFonts w:ascii="IBM Plex Mono" w:cs="IBM Plex Mono" w:eastAsia="IBM Plex Mono" w:hAnsi="IBM Plex Mono"/>
          <w:color w:val="E8A912"/>
          <w:sz w:val="20"/>
          <w:szCs w:val="20"/>
        </w:rPr>
        <w:t xml:space="preserve">orbitron-font/static/Orbitron-Medium.ttf        Logo wordmark (500)</w:t>
      </w:r>
    </w:p>
    <w:p>
      <w:pPr>
        <w:spacing w:after="100"/>
      </w:pPr>
      <w:r>
        <w:rPr>
          <w:rFonts w:ascii="IBM Plex Mono" w:cs="IBM Plex Mono" w:eastAsia="IBM Plex Mono" w:hAnsi="IBM Plex Mono"/>
          <w:color w:val="E8A912"/>
          <w:sz w:val="20"/>
          <w:szCs w:val="20"/>
        </w:rPr>
        <w:t xml:space="preserve">orbitron-font/static/Orbitron-Regular.ttf       Reference (400)</w:t>
      </w:r>
    </w:p>
    <w:p>
      <w:pPr>
        <w:spacing w:after="100"/>
      </w:pPr>
      <w:r>
        <w:rPr>
          <w:rFonts w:ascii="IBM Plex Mono" w:cs="IBM Plex Mono" w:eastAsia="IBM Plex Mono" w:hAnsi="IBM Plex Mono"/>
          <w:color w:val="E8A912"/>
          <w:sz w:val="20"/>
          <w:szCs w:val="20"/>
        </w:rPr>
        <w:t xml:space="preserve">orbitron-font/static/Orbitron-Bold.ttf          Reference (700)</w:t>
      </w:r>
    </w:p>
    <w:p>
      <w:pPr>
        <w:spacing w:after="100"/>
      </w:pPr>
      <w:r>
        <w:rPr>
          <w:rFonts w:ascii="IBM Plex Mono" w:cs="IBM Plex Mono" w:eastAsia="IBM Plex Mono" w:hAnsi="IBM Plex Mono"/>
          <w:color w:val="E8A912"/>
          <w:sz w:val="20"/>
          <w:szCs w:val="20"/>
        </w:rPr>
        <w:t xml:space="preserve">orbitron-font/Orbitron-VariableFont_wght.ttf    Variable font</w:t>
      </w:r>
    </w:p>
    <w:p>
      <w:pPr>
        <w:spacing w:after="0" w:before="100"/>
      </w:pPr>
    </w:p>
    <w:p>
      <w:pPr>
        <w:spacing w:after="140"/>
      </w:pPr>
      <w:r>
        <w:rPr>
          <w:rFonts w:ascii="Arial" w:cs="Arial" w:eastAsia="Arial" w:hAnsi="Arial"/>
          <w:color w:val="9E9888"/>
          <w:sz w:val="22"/>
          <w:szCs w:val="22"/>
        </w:rPr>
        <w:t xml:space="preserve">Barlow Condensed, IBM Plex Mono, and Inter are loaded via Google Fonts. No local files needed for web use.</w:t>
      </w:r>
    </w:p>
    <w:p>
      <w:pPr>
        <w:spacing w:after="160" w:before="300"/>
      </w:pPr>
      <w:r>
        <w:rPr>
          <w:rFonts w:ascii="IBM Plex Mono" w:cs="IBM Plex Mono" w:eastAsia="IBM Plex Mono" w:hAnsi="IBM Plex Mono"/>
          <w:b/>
          <w:bCs/>
          <w:color w:val="E8A912"/>
          <w:spacing w:val="120"/>
          <w:sz w:val="18"/>
          <w:szCs w:val="18"/>
        </w:rPr>
        <w:t xml:space="preserve">CSS VARIABLES (COPY-PASTE READY)</w:t>
      </w:r>
    </w:p>
    <w:p>
      <w:pPr>
        <w:spacing w:after="100"/>
      </w:pPr>
      <w:r>
        <w:rPr>
          <w:rFonts w:ascii="IBM Plex Mono" w:cs="IBM Plex Mono" w:eastAsia="IBM Plex Mono" w:hAnsi="IBM Plex Mono"/>
          <w:color w:val="E8A912"/>
          <w:sz w:val="20"/>
          <w:szCs w:val="20"/>
        </w:rPr>
        <w:t xml:space="preserve">--bg: #080806;</w:t>
      </w:r>
    </w:p>
    <w:p>
      <w:pPr>
        <w:spacing w:after="100"/>
      </w:pPr>
      <w:r>
        <w:rPr>
          <w:rFonts w:ascii="IBM Plex Mono" w:cs="IBM Plex Mono" w:eastAsia="IBM Plex Mono" w:hAnsi="IBM Plex Mono"/>
          <w:color w:val="E8A912"/>
          <w:sz w:val="20"/>
          <w:szCs w:val="20"/>
        </w:rPr>
        <w:t xml:space="preserve">--bg2: #0D0D0A;</w:t>
      </w:r>
    </w:p>
    <w:p>
      <w:pPr>
        <w:spacing w:after="100"/>
      </w:pPr>
      <w:r>
        <w:rPr>
          <w:rFonts w:ascii="IBM Plex Mono" w:cs="IBM Plex Mono" w:eastAsia="IBM Plex Mono" w:hAnsi="IBM Plex Mono"/>
          <w:color w:val="E8A912"/>
          <w:sz w:val="20"/>
          <w:szCs w:val="20"/>
        </w:rPr>
        <w:t xml:space="preserve">--bg3: #141410;</w:t>
      </w:r>
    </w:p>
    <w:p>
      <w:pPr>
        <w:spacing w:after="100"/>
      </w:pPr>
      <w:r>
        <w:rPr>
          <w:rFonts w:ascii="IBM Plex Mono" w:cs="IBM Plex Mono" w:eastAsia="IBM Plex Mono" w:hAnsi="IBM Plex Mono"/>
          <w:color w:val="E8A912"/>
          <w:sz w:val="20"/>
          <w:szCs w:val="20"/>
        </w:rPr>
        <w:t xml:space="preserve">--amber: #E8A912;</w:t>
      </w:r>
    </w:p>
    <w:p>
      <w:pPr>
        <w:spacing w:after="100"/>
      </w:pPr>
      <w:r>
        <w:rPr>
          <w:rFonts w:ascii="IBM Plex Mono" w:cs="IBM Plex Mono" w:eastAsia="IBM Plex Mono" w:hAnsi="IBM Plex Mono"/>
          <w:color w:val="E8A912"/>
          <w:sz w:val="20"/>
          <w:szCs w:val="20"/>
        </w:rPr>
        <w:t xml:space="preserve">--amber-dim: rgba(232,169,18,0.10);</w:t>
      </w:r>
    </w:p>
    <w:p>
      <w:pPr>
        <w:spacing w:after="100"/>
      </w:pPr>
      <w:r>
        <w:rPr>
          <w:rFonts w:ascii="IBM Plex Mono" w:cs="IBM Plex Mono" w:eastAsia="IBM Plex Mono" w:hAnsi="IBM Plex Mono"/>
          <w:color w:val="E8A912"/>
          <w:sz w:val="20"/>
          <w:szCs w:val="20"/>
        </w:rPr>
        <w:t xml:space="preserve">--amber-border: rgba(232,169,18,0.28);</w:t>
      </w:r>
    </w:p>
    <w:p>
      <w:pPr>
        <w:spacing w:after="100"/>
      </w:pPr>
      <w:r>
        <w:rPr>
          <w:rFonts w:ascii="IBM Plex Mono" w:cs="IBM Plex Mono" w:eastAsia="IBM Plex Mono" w:hAnsi="IBM Plex Mono"/>
          <w:color w:val="E8A912"/>
          <w:sz w:val="20"/>
          <w:szCs w:val="20"/>
        </w:rPr>
        <w:t xml:space="preserve">--text: #EDE8DC;</w:t>
      </w:r>
    </w:p>
    <w:p>
      <w:pPr>
        <w:spacing w:after="100"/>
      </w:pPr>
      <w:r>
        <w:rPr>
          <w:rFonts w:ascii="IBM Plex Mono" w:cs="IBM Plex Mono" w:eastAsia="IBM Plex Mono" w:hAnsi="IBM Plex Mono"/>
          <w:color w:val="E8A912"/>
          <w:sz w:val="20"/>
          <w:szCs w:val="20"/>
        </w:rPr>
        <w:t xml:space="preserve">--text-dim: #9E9888;</w:t>
      </w:r>
    </w:p>
    <w:p>
      <w:pPr>
        <w:spacing w:after="100"/>
      </w:pPr>
      <w:r>
        <w:rPr>
          <w:rFonts w:ascii="IBM Plex Mono" w:cs="IBM Plex Mono" w:eastAsia="IBM Plex Mono" w:hAnsi="IBM Plex Mono"/>
          <w:color w:val="E8A912"/>
          <w:sz w:val="20"/>
          <w:szCs w:val="20"/>
        </w:rPr>
        <w:t xml:space="preserve">--text-faint: #5C5850;</w:t>
      </w:r>
    </w:p>
    <w:p>
      <w:pPr>
        <w:spacing w:after="100"/>
      </w:pPr>
      <w:r>
        <w:rPr>
          <w:rFonts w:ascii="IBM Plex Mono" w:cs="IBM Plex Mono" w:eastAsia="IBM Plex Mono" w:hAnsi="IBM Plex Mono"/>
          <w:color w:val="E8A912"/>
          <w:sz w:val="20"/>
          <w:szCs w:val="20"/>
        </w:rPr>
        <w:t xml:space="preserve">--green: #52C97A;</w:t>
      </w:r>
    </w:p>
    <w:p>
      <w:pPr>
        <w:spacing w:after="100"/>
      </w:pPr>
      <w:r>
        <w:rPr>
          <w:rFonts w:ascii="IBM Plex Mono" w:cs="IBM Plex Mono" w:eastAsia="IBM Plex Mono" w:hAnsi="IBM Plex Mono"/>
          <w:color w:val="E8A912"/>
          <w:sz w:val="20"/>
          <w:szCs w:val="20"/>
        </w:rPr>
        <w:t xml:space="preserve">--red: #E06060;</w:t>
      </w:r>
    </w:p>
    <w:p>
      <w:pPr>
        <w:spacing w:after="0" w:before="200"/>
      </w:pPr>
    </w:p>
    <w:p>
      <w:pPr>
        <w:pBdr>
          <w:bottom w:val="single" w:color="333333" w:sz="1" w:space="8"/>
        </w:pBdr>
        <w:spacing w:after="200" w:before="200"/>
      </w:pPr>
    </w:p>
    <w:p>
      <w:pPr>
        <w:spacing w:after="0" w:before="100"/>
      </w:pPr>
    </w:p>
    <w:p>
      <w:pPr>
        <w:jc w:val="center"/>
      </w:pPr>
      <w:r>
        <w:rPr>
          <w:rFonts w:ascii="IBM Plex Mono" w:cs="IBM Plex Mono" w:eastAsia="IBM Plex Mono" w:hAnsi="IBM Plex Mono"/>
          <w:color w:val="E8A912"/>
          <w:spacing w:val="200"/>
          <w:sz w:val="16"/>
          <w:szCs w:val="16"/>
        </w:rPr>
        <w:t xml:space="preserve">SUBPULSE</w:t>
      </w:r>
    </w:p>
    <w:p>
      <w:pPr>
        <w:spacing w:after="100"/>
        <w:jc w:val="center"/>
      </w:pPr>
      <w:r>
        <w:rPr>
          <w:rFonts w:ascii="IBM Plex Mono" w:cs="IBM Plex Mono" w:eastAsia="IBM Plex Mono" w:hAnsi="IBM Plex Mono"/>
          <w:color w:val="9E9888"/>
          <w:spacing w:val="100"/>
          <w:sz w:val="14"/>
          <w:szCs w:val="14"/>
        </w:rPr>
        <w:t xml:space="preserve">subpulse.fm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9E988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200"/>
      <w:outlineLvl w:val="0"/>
    </w:pPr>
    <w:rPr>
      <w:rFonts w:ascii="Arial" w:cs="Arial" w:eastAsia="Arial" w:hAnsi="Arial"/>
      <w:b/>
      <w:bCs/>
      <w:color w:val="EDE8DC"/>
      <w:sz w:val="48"/>
      <w:szCs w:val="48"/>
    </w:rPr>
  </w:style>
  <w:style w:type="paragraph" w:styleId="Heading2">
    <w:name w:val="Heading 2"/>
    <w:basedOn w:val="Normal"/>
    <w:next w:val="Normal"/>
    <w:qFormat/>
    <w:pPr>
      <w:spacing w:after="180" w:before="240"/>
      <w:outlineLvl w:val="1"/>
    </w:pPr>
    <w:rPr>
      <w:rFonts w:ascii="Arial" w:cs="Arial" w:eastAsia="Arial" w:hAnsi="Arial"/>
      <w:b/>
      <w:bCs/>
      <w:color w:val="EDE8D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f214797e8b67aaad5b56ad3322db861813e3b.png"/><Relationship Id="rId8" Type="http://schemas.openxmlformats.org/officeDocument/2006/relationships/image" Target="media/a9d985dc43a374a944069696e851f0ab5012f873.png"/><Relationship Id="rId9" Type="http://schemas.openxmlformats.org/officeDocument/2006/relationships/image" Target="media/0655e41af8d18e0f285a51d7bbc098b6ab36528d.png"/><Relationship Id="rId10" Type="http://schemas.openxmlformats.org/officeDocument/2006/relationships/image" Target="media/d38fe1833f3e3785b2680b826180c07cdf1ea796.png"/><Relationship Id="rId11" Type="http://schemas.openxmlformats.org/officeDocument/2006/relationships/image" Target="media/ed6112cb2854af7bc3aeaa91cb215d9e600aee9b.png"/><Relationship Id="rId12" Type="http://schemas.openxmlformats.org/officeDocument/2006/relationships/image" Target="media/9a9b7e0220e3f1fa678da50ae24da652473bc16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2026-04-05T20:47:37.302Z</dcterms:created>
  <dcterms:modified xsi:type="dcterms:W3CDTF">2026-04-05T20:47:37.303Z</dcterms:modified>
</cp:coreProperties>
</file>

<file path=docProps/custom.xml><?xml version="1.0" encoding="utf-8"?>
<Properties xmlns="http://schemas.openxmlformats.org/officeDocument/2006/custom-properties" xmlns:vt="http://schemas.openxmlformats.org/officeDocument/2006/docPropsVTypes"/>
</file>