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95.png" ContentType="image/png"/>
  <Override PartName="/word/media/rId59.png" ContentType="image/png"/>
  <Override PartName="/word/media/rId107.png" ContentType="image/png"/>
  <Override PartName="/word/media/rId77.png" ContentType="image/png"/>
  <Override PartName="/word/media/rId46.png" ContentType="image/png"/>
  <Override PartName="/word/media/rId42.png" ContentType="image/png"/>
  <Override PartName="/word/media/rId103.png" ContentType="image/png"/>
  <Override PartName="/word/media/rId73.png" ContentType="image/png"/>
  <Override PartName="/word/media/rId9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63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Objetivo 4: Factor Sensorial Más Influyente</w:t>
      </w:r>
    </w:p>
    <w:p>
      <w:pPr>
        <w:pStyle w:val="Subtitle"/>
      </w:pPr>
      <w:r>
        <w:t xml:space="preserve">Impacto de los factores de la experiencia gastronómica</w:t>
      </w:r>
      <w:r>
        <w:t xml:space="preserve"> </w:t>
      </w:r>
      <w:r>
        <w:t xml:space="preserve">en la toma de decisiones del comensal</w:t>
      </w:r>
    </w:p>
    <w:p>
      <w:pPr>
        <w:pStyle w:val="Author"/>
      </w:pPr>
      <w:r>
        <w:t xml:space="preserve">Ariana-Fernanda Valeria Vidal Tapia</w:t>
      </w:r>
    </w:p>
    <w:p>
      <w:pPr>
        <w:pStyle w:val="Date"/>
      </w:pPr>
      <w:r>
        <w:t xml:space="preserve">16 de April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arga-de-datos-y-librerías"/>
    <w:p>
      <w:pPr>
        <w:pStyle w:val="Heading1"/>
      </w:pPr>
      <w:r>
        <w:t xml:space="preserve">Carga de datos y librerías</w:t>
      </w:r>
    </w:p>
    <w:p>
      <w:pPr>
        <w:pStyle w:val="FirstParagraph"/>
      </w:pPr>
      <w:r>
        <w:t xml:space="preserve">El objetivo específico 4 busca identificar cuál de los factores sensoriales dentro de cada dimensión — Producto (P1, P2, P3), Servicio (S1, S2, S3) y Entorno (E1–E8) — es el más influyente en la toma de decisiones del comensal, medida a través de tres variables dependientes: satisfacción (I1, Likert 1–5), intención de revisitar (I2, Likert 1–5) e intención de recomendar (I3, binaria Sí/No).</w:t>
      </w:r>
    </w:p>
    <w:p>
      <w:pPr>
        <w:pStyle w:val="BodyText"/>
      </w:pPr>
      <w:r>
        <w:t xml:space="preserve">Para cada dimensión se presentan: correlaciones de Spearman con ranking de influencia, tablas de contingencia, y visualizaciones (heatmap, barras apiladas y dispersión con jitter).</w:t>
      </w:r>
    </w:p>
    <w:bookmarkEnd w:id="20"/>
    <w:bookmarkStart w:id="21" w:name="X0fb6fe683196de0c7b94c3943283db3d29c0a80"/>
    <w:p>
      <w:pPr>
        <w:pStyle w:val="Heading1"/>
      </w:pPr>
      <w:r>
        <w:t xml:space="preserve">Tablas de puntajes promedio por condición</w:t>
      </w:r>
    </w:p>
    <w:p>
      <w:r>
        <w:br w:type="page"/>
      </w:r>
    </w:p>
    <w:bookmarkEnd w:id="21"/>
    <w:bookmarkStart w:id="52" w:name="X43f34e2075798de97a380771ed2af97a023427d"/>
    <w:p>
      <w:pPr>
        <w:pStyle w:val="Heading1"/>
      </w:pPr>
      <w:r>
        <w:t xml:space="preserve">Análisis por ítems de Producto: P1, P2, P3 vs. variables dependientes</w:t>
      </w:r>
    </w:p>
    <w:bookmarkStart w:id="23" w:name="correlaciones-de-spearman"/>
    <w:p>
      <w:pPr>
        <w:pStyle w:val="Heading2"/>
      </w:pPr>
      <w:r>
        <w:t xml:space="preserve">Correlaciones de Spearman</w:t>
      </w:r>
    </w:p>
    <w:p>
      <w:pPr>
        <w:pStyle w:val="FirstParagraph"/>
      </w:pPr>
      <w:r>
        <w:t xml:space="preserve">Se calcula el coeficiente de correlación de Spearman (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) entre cada ítem del producto y cada variable dependiente.</w:t>
      </w:r>
    </w:p>
    <w:bookmarkStart w:id="22" w:name="ranking-de-influencia-producto"/>
    <w:p>
      <w:pPr>
        <w:pStyle w:val="Heading3"/>
      </w:pPr>
      <w:r>
        <w:t xml:space="preserve">Ranking de influencia (Producto)</w:t>
      </w:r>
    </w:p>
    <w:p>
      <w:r>
        <w:br w:type="page"/>
      </w:r>
    </w:p>
    <w:bookmarkEnd w:id="22"/>
    <w:bookmarkEnd w:id="23"/>
    <w:bookmarkStart w:id="27" w:name="tablas-de-contingencia-producto"/>
    <w:p>
      <w:pPr>
        <w:pStyle w:val="Heading2"/>
      </w:pPr>
      <w:r>
        <w:t xml:space="preserve">Tablas de contingencia (Producto)</w:t>
      </w:r>
    </w:p>
    <w:bookmarkStart w:id="24" w:name="p1-sabor-vs.-variables-dependientes"/>
    <w:p>
      <w:pPr>
        <w:pStyle w:val="Heading3"/>
      </w:pPr>
      <w:r>
        <w:t xml:space="preserve">P1 (Sabor) vs. Variables dependientes</w:t>
      </w:r>
    </w:p>
    <w:bookmarkEnd w:id="24"/>
    <w:bookmarkStart w:id="25" w:name="X6133f72acb615a679d4f477e43e27d8f27af57d"/>
    <w:p>
      <w:pPr>
        <w:pStyle w:val="Heading3"/>
      </w:pPr>
      <w:r>
        <w:t xml:space="preserve">P2 (Presentación) vs. Variables dependientes</w:t>
      </w:r>
    </w:p>
    <w:bookmarkEnd w:id="25"/>
    <w:bookmarkStart w:id="26" w:name="p3-frescura-vs.-variables-dependientes"/>
    <w:p>
      <w:pPr>
        <w:pStyle w:val="Heading3"/>
      </w:pPr>
      <w:r>
        <w:t xml:space="preserve">P3 (Frescura) vs. Variables dependientes</w:t>
      </w:r>
    </w:p>
    <w:p>
      <w:r>
        <w:br w:type="page"/>
      </w:r>
    </w:p>
    <w:bookmarkEnd w:id="26"/>
    <w:bookmarkEnd w:id="27"/>
    <w:bookmarkStart w:id="51" w:name="visualizaciones-producto"/>
    <w:p>
      <w:pPr>
        <w:pStyle w:val="Heading2"/>
      </w:pPr>
      <w:r>
        <w:t xml:space="preserve">Visualizaciones (Producto)</w:t>
      </w:r>
    </w:p>
    <w:bookmarkStart w:id="31" w:name="heatmap-de-correlaciones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Correlaciones de Spearman entre los ítems del Producto y las variables dependientes." title="" id="29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heatmap-corr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Producto y las variables dependientes.</w:t>
      </w:r>
    </w:p>
    <w:bookmarkEnd w:id="31"/>
    <w:bookmarkStart w:id="41" w:name="X5bf7a2cfb4c3beedb4e1dfb5b6a448f5fe387ac"/>
    <w:p>
      <w:pPr>
        <w:pStyle w:val="Heading3"/>
      </w:pPr>
      <w:r>
        <w:t xml:space="preserve">Proporción de Recomendar por nivel de cada ítem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1 (Sabor)." title="" id="33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p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P1 (Sabor).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2 (Presentación)." title="" id="36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p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P2 (Presentación).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3 (Frescura)." title="" id="39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p3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P3 (Frescura).</w:t>
      </w:r>
    </w:p>
    <w:bookmarkEnd w:id="41"/>
    <w:bookmarkStart w:id="45" w:name="Xc3f1609c7ac71908853abebf657e126dcc7cf9e"/>
    <w:p>
      <w:pPr>
        <w:pStyle w:val="Heading3"/>
      </w:pPr>
      <w:r>
        <w:t xml:space="preserve">Dispersión con jitter: Ítems del producto vs. Satisfacción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Satisfacción (I1)." title="" id="43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satisf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Satisfacción (I1).</w:t>
      </w:r>
    </w:p>
    <w:bookmarkEnd w:id="45"/>
    <w:bookmarkStart w:id="49" w:name="X415584476b196545d8efb1a9f5d84a9346d89a8"/>
    <w:p>
      <w:pPr>
        <w:pStyle w:val="Heading3"/>
      </w:pPr>
      <w:r>
        <w:t xml:space="preserve">Dispersión con jitter: Ítems del producto vs. Revisitar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Intención de revisitar (I2)." title="" id="47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revisitar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Intención de revisitar (I2).</w:t>
      </w:r>
    </w:p>
    <w:bookmarkEnd w:id="49"/>
    <w:bookmarkStart w:id="50" w:name="resumen-producto"/>
    <w:p>
      <w:pPr>
        <w:pStyle w:val="Heading3"/>
      </w:pPr>
      <w:r>
        <w:t xml:space="preserve">Resumen (Producto)</w:t>
      </w:r>
    </w:p>
    <w:p>
      <w:pPr>
        <w:pStyle w:val="FirstParagraph"/>
      </w:pPr>
      <w:r>
        <w:t xml:space="preserve">El ítem de producto más influyente en la toma de decisiones del comensal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0.54.</w:t>
      </w:r>
    </w:p>
    <w:p>
      <w:r>
        <w:br w:type="page"/>
      </w:r>
    </w:p>
    <w:bookmarkEnd w:id="50"/>
    <w:bookmarkEnd w:id="51"/>
    <w:bookmarkEnd w:id="52"/>
    <w:bookmarkStart w:id="83" w:name="Xe1179695ab0a51b009271a58f1c850a5d1cd4ca"/>
    <w:p>
      <w:pPr>
        <w:pStyle w:val="Heading1"/>
      </w:pPr>
      <w:r>
        <w:t xml:space="preserve">Análisis por ítems de Servicio: S1, S2, S3 vs. variables dependientes</w:t>
      </w:r>
    </w:p>
    <w:bookmarkStart w:id="54" w:name="correlaciones-de-spearman-1"/>
    <w:p>
      <w:pPr>
        <w:pStyle w:val="Heading2"/>
      </w:pPr>
      <w:r>
        <w:t xml:space="preserve">Correlaciones de Spearman</w:t>
      </w:r>
    </w:p>
    <w:bookmarkStart w:id="53" w:name="ranking-de-influencia-servicio"/>
    <w:p>
      <w:pPr>
        <w:pStyle w:val="Heading3"/>
      </w:pPr>
      <w:r>
        <w:t xml:space="preserve">Ranking de influencia (Servicio)</w:t>
      </w:r>
    </w:p>
    <w:p>
      <w:r>
        <w:br w:type="page"/>
      </w:r>
    </w:p>
    <w:bookmarkEnd w:id="53"/>
    <w:bookmarkEnd w:id="54"/>
    <w:bookmarkStart w:id="58" w:name="tablas-de-contingencia-servicio"/>
    <w:p>
      <w:pPr>
        <w:pStyle w:val="Heading2"/>
      </w:pPr>
      <w:r>
        <w:t xml:space="preserve">Tablas de contingencia (Servicio)</w:t>
      </w:r>
    </w:p>
    <w:bookmarkStart w:id="55" w:name="s1-atención-vs.-variables-dependientes"/>
    <w:p>
      <w:pPr>
        <w:pStyle w:val="Heading3"/>
      </w:pPr>
      <w:r>
        <w:t xml:space="preserve">S1 (Atención) vs. Variables dependientes</w:t>
      </w:r>
    </w:p>
    <w:bookmarkEnd w:id="55"/>
    <w:bookmarkStart w:id="56" w:name="s2-confianza-vs.-variables-dependientes"/>
    <w:p>
      <w:pPr>
        <w:pStyle w:val="Heading3"/>
      </w:pPr>
      <w:r>
        <w:t xml:space="preserve">S2 (Confianza) vs. Variables dependientes</w:t>
      </w:r>
    </w:p>
    <w:bookmarkEnd w:id="56"/>
    <w:bookmarkStart w:id="57" w:name="s3-apariencia-vs.-variables-dependientes"/>
    <w:p>
      <w:pPr>
        <w:pStyle w:val="Heading3"/>
      </w:pPr>
      <w:r>
        <w:t xml:space="preserve">S3 (Apariencia) vs. Variables dependientes</w:t>
      </w:r>
    </w:p>
    <w:p>
      <w:r>
        <w:br w:type="page"/>
      </w:r>
    </w:p>
    <w:bookmarkEnd w:id="57"/>
    <w:bookmarkEnd w:id="58"/>
    <w:bookmarkStart w:id="82" w:name="visualizaciones-servicio"/>
    <w:p>
      <w:pPr>
        <w:pStyle w:val="Heading2"/>
      </w:pPr>
      <w:r>
        <w:t xml:space="preserve">Visualizaciones (Servicio)</w:t>
      </w:r>
    </w:p>
    <w:bookmarkStart w:id="62" w:name="heatmap-de-correlaciones-1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Correlaciones de Spearman entre los ítems del Servicio y las variables dependientes." title="" id="60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heatmap-serv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Servicio y las variables dependientes.</w:t>
      </w:r>
    </w:p>
    <w:bookmarkEnd w:id="62"/>
    <w:bookmarkStart w:id="72" w:name="X0fbbf0aa682519fc4ab2ddb34fded5c94a12169"/>
    <w:p>
      <w:pPr>
        <w:pStyle w:val="Heading3"/>
      </w:pPr>
      <w:r>
        <w:t xml:space="preserve">Proporción de Recomendar por nivel de cada ítem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1 (Atención)." title="" id="64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s1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S1 (Atención).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2 (Confianza)." title="" id="67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s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S2 (Confianza).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S3 (Apariencia)." title="" id="70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s3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S3 (Apariencia).</w:t>
      </w:r>
    </w:p>
    <w:bookmarkEnd w:id="72"/>
    <w:bookmarkStart w:id="76" w:name="Xaac726663fb0c61691faba59d43430930979801"/>
    <w:p>
      <w:pPr>
        <w:pStyle w:val="Heading3"/>
      </w:pPr>
      <w:r>
        <w:t xml:space="preserve">Dispersión con jitter: Ítems del servicio vs. Satisfacción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Servicio y la Satisfacción (I1)." title="" id="74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satisf-serv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Servicio y la Satisfacción (I1).</w:t>
      </w:r>
    </w:p>
    <w:bookmarkEnd w:id="76"/>
    <w:bookmarkStart w:id="80" w:name="X89b406e1358eb150dd2d052843bcd50e6402257"/>
    <w:p>
      <w:pPr>
        <w:pStyle w:val="Heading3"/>
      </w:pPr>
      <w:r>
        <w:t xml:space="preserve">Dispersión con jitter: Ítems del servicio vs. Revisitar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Servicio y la Intención de revisitar (I2)." title="" id="78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revis-serv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Servicio y la Intención de revisitar (I2).</w:t>
      </w:r>
    </w:p>
    <w:bookmarkEnd w:id="80"/>
    <w:bookmarkStart w:id="81" w:name="resumen-servicio"/>
    <w:p>
      <w:pPr>
        <w:pStyle w:val="Heading3"/>
      </w:pPr>
      <w:r>
        <w:t xml:space="preserve">Resumen (Servicio)</w:t>
      </w:r>
    </w:p>
    <w:p>
      <w:pPr>
        <w:pStyle w:val="FirstParagraph"/>
      </w:pPr>
      <w:r>
        <w:t xml:space="preserve">El ítem de servicio más influyente en la toma de decisiones del comensal es</w:t>
      </w:r>
      <w:r>
        <w:t xml:space="preserve"> </w:t>
      </w:r>
      <w:r>
        <w:rPr>
          <w:b/>
          <w:bCs/>
        </w:rPr>
        <w:t xml:space="preserve">S1 (Atención)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0.3.</w:t>
      </w:r>
    </w:p>
    <w:p>
      <w:r>
        <w:br w:type="page"/>
      </w:r>
    </w:p>
    <w:bookmarkEnd w:id="81"/>
    <w:bookmarkEnd w:id="82"/>
    <w:bookmarkEnd w:id="83"/>
    <w:bookmarkStart w:id="113" w:name="X3a6a83d1e2e7b28b8a74c02350fc517ecc801a9"/>
    <w:p>
      <w:pPr>
        <w:pStyle w:val="Heading1"/>
      </w:pPr>
      <w:r>
        <w:t xml:space="preserve">Análisis por ítems de Entorno: E1–E8 vs. variables dependientes</w:t>
      </w:r>
    </w:p>
    <w:bookmarkStart w:id="85" w:name="correlaciones-de-spearman-2"/>
    <w:p>
      <w:pPr>
        <w:pStyle w:val="Heading2"/>
      </w:pPr>
      <w:r>
        <w:t xml:space="preserve">Correlaciones de Spearman</w:t>
      </w:r>
    </w:p>
    <w:bookmarkStart w:id="84" w:name="ranking-de-influencia-entorno"/>
    <w:p>
      <w:pPr>
        <w:pStyle w:val="Heading3"/>
      </w:pPr>
      <w:r>
        <w:t xml:space="preserve">Ranking de influencia (Entorno)</w:t>
      </w:r>
    </w:p>
    <w:p>
      <w:r>
        <w:br w:type="page"/>
      </w:r>
    </w:p>
    <w:bookmarkEnd w:id="84"/>
    <w:bookmarkEnd w:id="85"/>
    <w:bookmarkStart w:id="94" w:name="tablas-de-contingencia-entorno"/>
    <w:p>
      <w:pPr>
        <w:pStyle w:val="Heading2"/>
      </w:pPr>
      <w:r>
        <w:t xml:space="preserve">Tablas de contingencia (Entorno)</w:t>
      </w:r>
    </w:p>
    <w:bookmarkStart w:id="86" w:name="e1-decoración-vs.-variables-dependientes"/>
    <w:p>
      <w:pPr>
        <w:pStyle w:val="Heading3"/>
      </w:pPr>
      <w:r>
        <w:t xml:space="preserve">E1 (Decoración) vs. Variables dependientes</w:t>
      </w:r>
    </w:p>
    <w:bookmarkEnd w:id="86"/>
    <w:bookmarkStart w:id="87" w:name="e2-colores-vs.-variables-dependientes"/>
    <w:p>
      <w:pPr>
        <w:pStyle w:val="Heading3"/>
      </w:pPr>
      <w:r>
        <w:t xml:space="preserve">E2 (Colores) vs. Variables dependientes</w:t>
      </w:r>
    </w:p>
    <w:bookmarkEnd w:id="87"/>
    <w:bookmarkStart w:id="88" w:name="e3-mobiliario-vs.-variables-dependientes"/>
    <w:p>
      <w:pPr>
        <w:pStyle w:val="Heading3"/>
      </w:pPr>
      <w:r>
        <w:t xml:space="preserve">E3 (Mobiliario) vs. Variables dependientes</w:t>
      </w:r>
    </w:p>
    <w:bookmarkEnd w:id="88"/>
    <w:bookmarkStart w:id="89" w:name="e4-menaje-vs.-variables-dependientes"/>
    <w:p>
      <w:pPr>
        <w:pStyle w:val="Heading3"/>
      </w:pPr>
      <w:r>
        <w:t xml:space="preserve">E4 (Menaje) vs. Variables dependientes</w:t>
      </w:r>
    </w:p>
    <w:bookmarkEnd w:id="89"/>
    <w:bookmarkStart w:id="90" w:name="e5-manteles-vs.-variables-dependientes"/>
    <w:p>
      <w:pPr>
        <w:pStyle w:val="Heading3"/>
      </w:pPr>
      <w:r>
        <w:t xml:space="preserve">E5 (Manteles) vs. Variables dependientes</w:t>
      </w:r>
    </w:p>
    <w:bookmarkEnd w:id="90"/>
    <w:bookmarkStart w:id="91" w:name="e6-espacio-vs.-variables-dependientes"/>
    <w:p>
      <w:pPr>
        <w:pStyle w:val="Heading3"/>
      </w:pPr>
      <w:r>
        <w:t xml:space="preserve">E6 (Espacio) vs. Variables dependientes</w:t>
      </w:r>
    </w:p>
    <w:bookmarkEnd w:id="91"/>
    <w:bookmarkStart w:id="92" w:name="e7-asientos-vs.-variables-dependientes"/>
    <w:p>
      <w:pPr>
        <w:pStyle w:val="Heading3"/>
      </w:pPr>
      <w:r>
        <w:t xml:space="preserve">E7 (Asientos) vs. Variables dependientes</w:t>
      </w:r>
    </w:p>
    <w:bookmarkEnd w:id="92"/>
    <w:bookmarkStart w:id="93" w:name="e8-música-vs.-variables-dependientes"/>
    <w:p>
      <w:pPr>
        <w:pStyle w:val="Heading3"/>
      </w:pPr>
      <w:r>
        <w:t xml:space="preserve">E8 (Música) vs. Variables dependientes</w:t>
      </w:r>
    </w:p>
    <w:p>
      <w:r>
        <w:br w:type="page"/>
      </w:r>
    </w:p>
    <w:bookmarkEnd w:id="93"/>
    <w:bookmarkEnd w:id="94"/>
    <w:bookmarkStart w:id="112" w:name="visualizaciones-entorno"/>
    <w:p>
      <w:pPr>
        <w:pStyle w:val="Heading2"/>
      </w:pPr>
      <w:r>
        <w:t xml:space="preserve">Visualizaciones (Entorno)</w:t>
      </w:r>
    </w:p>
    <w:bookmarkStart w:id="98" w:name="heatmap-de-correlaciones-2"/>
    <w:p>
      <w:pPr>
        <w:pStyle w:val="Heading3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3619500"/>
            <wp:effectExtent b="0" l="0" r="0" t="0"/>
            <wp:docPr descr="Correlaciones de Spearman entre los ítems del Entorno y las variables dependientes." title="" id="96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heatmap-ent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Entorno y las variables dependientes.</w:t>
      </w:r>
    </w:p>
    <w:bookmarkEnd w:id="98"/>
    <w:bookmarkStart w:id="102" w:name="X25c7f5e3cff0367a7f81c3907faa8415f8efe2f"/>
    <w:p>
      <w:pPr>
        <w:pStyle w:val="Heading3"/>
      </w:pPr>
      <w:r>
        <w:t xml:space="preserve">Proporción de Recomendar por nivel de cada ítem del Entorno</w:t>
      </w:r>
    </w:p>
    <w:p>
      <w:pPr>
        <w:pStyle w:val="CaptionedFigure"/>
      </w:pPr>
      <w:r>
        <w:drawing>
          <wp:inline>
            <wp:extent cx="5067300" cy="5067300"/>
            <wp:effectExtent b="0" l="0" r="0" t="0"/>
            <wp:docPr descr="Proporción de Recomendar por nivel de cada ítem del Entorno." title="" id="100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mosaico-ent-all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cada ítem del Entorno.</w:t>
      </w:r>
    </w:p>
    <w:bookmarkEnd w:id="102"/>
    <w:bookmarkStart w:id="106" w:name="X6863a5776e212d0e988fe8da85c1cac747f6182"/>
    <w:p>
      <w:pPr>
        <w:pStyle w:val="Heading3"/>
      </w:pPr>
      <w:r>
        <w:t xml:space="preserve">Dispersión con jitter: Ítems del entorno vs. Satisfacción</w:t>
      </w:r>
    </w:p>
    <w:p>
      <w:pPr>
        <w:pStyle w:val="CaptionedFigure"/>
      </w:pPr>
      <w:r>
        <w:drawing>
          <wp:inline>
            <wp:extent cx="5067300" cy="3800475"/>
            <wp:effectExtent b="0" l="0" r="0" t="0"/>
            <wp:docPr descr="Relación entre cada ítem del Entorno y la Satisfacción (I1)." title="" id="104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satisf-en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Entorno y la Satisfacción (I1).</w:t>
      </w:r>
    </w:p>
    <w:bookmarkEnd w:id="106"/>
    <w:bookmarkStart w:id="110" w:name="X500654b2b954045d608bb4ffe5fc3249ca7442d"/>
    <w:p>
      <w:pPr>
        <w:pStyle w:val="Heading3"/>
      </w:pPr>
      <w:r>
        <w:t xml:space="preserve">Dispersión con jitter: Ítems del entorno vs. Revisitar</w:t>
      </w:r>
    </w:p>
    <w:p>
      <w:pPr>
        <w:pStyle w:val="CaptionedFigure"/>
      </w:pPr>
      <w:r>
        <w:drawing>
          <wp:inline>
            <wp:extent cx="5067300" cy="3800475"/>
            <wp:effectExtent b="0" l="0" r="0" t="0"/>
            <wp:docPr descr="Relación entre cada ítem del Entorno y la Intención de revisitar (I2)." title="" id="108" name="Picture"/>
            <a:graphic>
              <a:graphicData uri="http://schemas.openxmlformats.org/drawingml/2006/picture">
                <pic:pic>
                  <pic:nvPicPr>
                    <pic:cNvPr descr="03_objetivo4_factor_sensorial-05-_files/figure-docx/jitter-revis-ent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Entorno y la Intención de revisitar (I2).</w:t>
      </w:r>
    </w:p>
    <w:bookmarkEnd w:id="110"/>
    <w:bookmarkStart w:id="111" w:name="resumen-entorno"/>
    <w:p>
      <w:pPr>
        <w:pStyle w:val="Heading3"/>
      </w:pPr>
      <w:r>
        <w:t xml:space="preserve">Resumen (Entorno)</w:t>
      </w:r>
    </w:p>
    <w:p>
      <w:pPr>
        <w:pStyle w:val="FirstParagraph"/>
      </w:pPr>
      <w:r>
        <w:t xml:space="preserve">El ítem de entorno más influyente en la toma de decisiones del comensal es</w:t>
      </w:r>
      <w:r>
        <w:t xml:space="preserve"> </w:t>
      </w:r>
      <w:r>
        <w:rPr>
          <w:b/>
          <w:bCs/>
        </w:rPr>
        <w:t xml:space="preserve">E1 (Decoración)</w:t>
      </w:r>
      <w:r>
        <w:t xml:space="preserve">,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0.39.</w:t>
      </w:r>
    </w:p>
    <w:p>
      <w:r>
        <w:br w:type="page"/>
      </w:r>
    </w:p>
    <w:bookmarkEnd w:id="111"/>
    <w:bookmarkEnd w:id="112"/>
    <w:bookmarkEnd w:id="113"/>
    <w:bookmarkStart w:id="118" w:name="resumen-general-del-objetivo-4"/>
    <w:p>
      <w:pPr>
        <w:pStyle w:val="Heading1"/>
      </w:pPr>
      <w:r>
        <w:t xml:space="preserve">Resumen general del Objetivo 4</w:t>
      </w:r>
    </w:p>
    <w:bookmarkStart w:id="114" w:name="conclusión-dimensión-producto"/>
    <w:p>
      <w:pPr>
        <w:pStyle w:val="Heading2"/>
      </w:pPr>
      <w:r>
        <w:t xml:space="preserve">Conclusión — Dimensión Producto</w:t>
      </w:r>
    </w:p>
    <w:p>
      <w:pPr>
        <w:pStyle w:val="FirstParagraph"/>
      </w:pPr>
      <w:r>
        <w:t xml:space="preserve">Dentro de la dimensión Producto, el ítem más influyente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0.54), mientras que el de menor influencia es</w:t>
      </w:r>
      <w:r>
        <w:t xml:space="preserve"> </w:t>
      </w:r>
      <w:r>
        <w:rPr>
          <w:b/>
          <w:bCs/>
        </w:rPr>
        <w:t xml:space="preserve">P3 (Frescura)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0.376). Las tablas de contingencia y los gráficos de barras apiladas confirman que a mayor puntaje en los ítems de producto, la proporción de comensales dispuestos a recomendar el establecimiento aumenta de forma consistente. Los gráficos de dispersión muestran una relación positiva entre los tres ítems y las variables de satisfacción y revisita.</w:t>
      </w:r>
    </w:p>
    <w:bookmarkEnd w:id="114"/>
    <w:bookmarkStart w:id="115" w:name="conclusión-dimensión-servicio"/>
    <w:p>
      <w:pPr>
        <w:pStyle w:val="Heading2"/>
      </w:pPr>
      <w:r>
        <w:t xml:space="preserve">Conclusión — Dimensión Servicio</w:t>
      </w:r>
    </w:p>
    <w:p>
      <w:pPr>
        <w:pStyle w:val="FirstParagraph"/>
      </w:pPr>
      <w:r>
        <w:t xml:space="preserve">Dentro de la dimensión Servicio, el ítem más influyente es</w:t>
      </w:r>
      <w:r>
        <w:t xml:space="preserve"> </w:t>
      </w:r>
      <w:r>
        <w:rPr>
          <w:b/>
          <w:bCs/>
        </w:rPr>
        <w:t xml:space="preserve">S1 (Atención)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0.3), y el de menor influencia es</w:t>
      </w:r>
      <w:r>
        <w:t xml:space="preserve"> </w:t>
      </w:r>
      <w:r>
        <w:rPr>
          <w:b/>
          <w:bCs/>
        </w:rPr>
        <w:t xml:space="preserve">S3 (Apariencia)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0.205). Los patrones observados en las tablas de contingencia y en los gráficos de mosaico son coherentes con los resultados de las correlaciones: los niveles más altos de percepción de servicio se asocian con mayor proporción de recomendación y con puntajes más elevados de satisfacción y revisita.</w:t>
      </w:r>
    </w:p>
    <w:bookmarkEnd w:id="115"/>
    <w:bookmarkStart w:id="116" w:name="conclusión-dimensión-entorno"/>
    <w:p>
      <w:pPr>
        <w:pStyle w:val="Heading2"/>
      </w:pPr>
      <w:r>
        <w:t xml:space="preserve">Conclusión — Dimensión Entorno</w:t>
      </w:r>
    </w:p>
    <w:p>
      <w:pPr>
        <w:pStyle w:val="FirstParagraph"/>
      </w:pPr>
      <w:r>
        <w:t xml:space="preserve">Dentro de la dimensión Entorno, el ítem más influyente es</w:t>
      </w:r>
      <w:r>
        <w:t xml:space="preserve"> </w:t>
      </w:r>
      <w:r>
        <w:rPr>
          <w:b/>
          <w:bCs/>
        </w:rPr>
        <w:t xml:space="preserve">E1 (Decoración)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0.39), y el de menor influencia es</w:t>
      </w:r>
      <w:r>
        <w:t xml:space="preserve"> </w:t>
      </w:r>
      <w:r>
        <w:rPr>
          <w:b/>
          <w:bCs/>
        </w:rPr>
        <w:t xml:space="preserve">E5 (Manteles)</w:t>
      </w:r>
      <w:r>
        <w:t xml:space="preserve"> </w:t>
      </w:r>
      <w:r>
        <w:t xml:space="preserve">(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= 0.194). La mayor cantidad de ítems en esta dimensión (8 frente a 3 de las otras) permite una mirada más granular: el heatmap evidencia que no todos los aspectos del entorno pesan por igual, y las barras apiladas muestran que ciertos elementos del ambiente tienen una relación más marcada con la decisión de recomendar.</w:t>
      </w:r>
    </w:p>
    <w:bookmarkEnd w:id="116"/>
    <w:bookmarkStart w:id="117" w:name="conclusión-general"/>
    <w:p>
      <w:pPr>
        <w:pStyle w:val="Heading2"/>
      </w:pPr>
      <w:r>
        <w:t xml:space="preserve">Conclusión general</w:t>
      </w:r>
    </w:p>
    <w:p>
      <w:pPr>
        <w:pStyle w:val="FirstParagraph"/>
      </w:pPr>
      <w:r>
        <w:t xml:space="preserve">Considerando las tres dimensiones de forma conjunta, el factor sensorial más influyente en la toma de decisiones del comensal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 </w:t>
      </w:r>
      <w:r>
        <w:t xml:space="preserve">(dimensión</w:t>
      </w:r>
      <w:r>
        <w:t xml:space="preserve"> </w:t>
      </w:r>
      <w:r>
        <w:rPr>
          <w:b/>
          <w:bCs/>
        </w:rPr>
        <w:t xml:space="preserve">Producto</w:t>
      </w:r>
      <w:r>
        <w:t xml:space="preserve">), con un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de 0.54. Este resultado indica que, entre todos los atributos evaluados, dicho factor presenta la asociación más fuerte y consistente con las tres variables de resultado: satisfacción, intención de revisitar e intención de recomendar.</w:t>
      </w:r>
    </w:p>
    <w:p>
      <w:pPr>
        <w:pStyle w:val="BodyText"/>
      </w:pPr>
      <w:r>
        <w:t xml:space="preserve">La tabla de ranking global permite además identificar cuáles ítems de cada dimensión contribuyen más a la experiencia del comensal, información útil para priorizar esfuerzos de mejora en un establecimiento de alimentos y bebidas.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95" Target="media/rId95.png" /><Relationship Type="http://schemas.openxmlformats.org/officeDocument/2006/relationships/image" Id="rId59" Target="media/rId59.png" /><Relationship Type="http://schemas.openxmlformats.org/officeDocument/2006/relationships/image" Id="rId107" Target="media/rId107.png" /><Relationship Type="http://schemas.openxmlformats.org/officeDocument/2006/relationships/image" Id="rId77" Target="media/rId77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103" Target="media/rId103.png" /><Relationship Type="http://schemas.openxmlformats.org/officeDocument/2006/relationships/image" Id="rId73" Target="media/rId73.png" /><Relationship Type="http://schemas.openxmlformats.org/officeDocument/2006/relationships/image" Id="rId99" Target="media/rId9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 4: Factor Sensorial Más Influyente</dc:title>
  <dc:creator>Ariana-Fernanda Valeria Vidal Tapia</dc:creator>
  <dc:language>es</dc:language>
  <cp:keywords/>
  <dcterms:created xsi:type="dcterms:W3CDTF">2026-04-16T20:06:42Z</dcterms:created>
  <dcterms:modified xsi:type="dcterms:W3CDTF">2026-04-16T20:06:42Z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de April de 2026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Impacto de los factores de la experiencia gastronómica en la toma de decisiones del comensal</vt:lpwstr>
  </property>
</Properties>
</file>