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3"/>
        <w:gridCol w:w="3380"/>
        <w:gridCol w:w="1853"/>
      </w:tblGrid>
      <w:tr w14:paraId="5D626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5233" w:type="dxa"/>
            <w:vMerge w:val="restart"/>
            <w:tcBorders>
              <w:top w:val="nil"/>
              <w:left w:val="nil"/>
              <w:right w:val="nil"/>
            </w:tcBorders>
          </w:tcPr>
          <w:p w14:paraId="110C37B4">
            <w:pPr>
              <w:rPr>
                <w:rFonts w:ascii="黑体" w:hAnsi="黑体" w:eastAsia="黑体"/>
                <w:sz w:val="72"/>
                <w:szCs w:val="72"/>
              </w:rPr>
            </w:pPr>
            <w:r>
              <w:drawing>
                <wp:inline distT="0" distB="0" distL="0" distR="0">
                  <wp:extent cx="1867535" cy="44577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referRelativeResize="0">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67535" cy="445770"/>
                          </a:xfrm>
                          <a:prstGeom prst="rect">
                            <a:avLst/>
                          </a:prstGeom>
                          <a:noFill/>
                          <a:ln>
                            <a:noFill/>
                          </a:ln>
                        </pic:spPr>
                      </pic:pic>
                    </a:graphicData>
                  </a:graphic>
                </wp:inline>
              </w:drawing>
            </w:r>
          </w:p>
        </w:tc>
        <w:tc>
          <w:tcPr>
            <w:tcW w:w="3380" w:type="dxa"/>
            <w:vMerge w:val="restart"/>
            <w:tcBorders>
              <w:top w:val="nil"/>
              <w:left w:val="nil"/>
              <w:right w:val="single" w:color="auto" w:sz="4" w:space="0"/>
            </w:tcBorders>
            <w:vAlign w:val="bottom"/>
          </w:tcPr>
          <w:p w14:paraId="1CC1BA60"/>
        </w:tc>
        <w:tc>
          <w:tcPr>
            <w:tcW w:w="1853" w:type="dxa"/>
            <w:tcBorders>
              <w:top w:val="single" w:color="auto" w:sz="4" w:space="0"/>
              <w:left w:val="single" w:color="auto" w:sz="4" w:space="0"/>
              <w:bottom w:val="single" w:color="auto" w:sz="4" w:space="0"/>
              <w:right w:val="single" w:color="auto" w:sz="4" w:space="0"/>
            </w:tcBorders>
            <w:vAlign w:val="bottom"/>
          </w:tcPr>
          <w:p w14:paraId="4F17C160">
            <w:r>
              <w:t>成绩</w:t>
            </w:r>
          </w:p>
        </w:tc>
      </w:tr>
      <w:tr w14:paraId="327C3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5233" w:type="dxa"/>
            <w:vMerge w:val="continue"/>
            <w:tcBorders>
              <w:left w:val="nil"/>
              <w:bottom w:val="single" w:color="auto" w:sz="4" w:space="0"/>
              <w:right w:val="nil"/>
            </w:tcBorders>
          </w:tcPr>
          <w:p w14:paraId="23B65505"/>
        </w:tc>
        <w:tc>
          <w:tcPr>
            <w:tcW w:w="3380" w:type="dxa"/>
            <w:vMerge w:val="continue"/>
            <w:tcBorders>
              <w:left w:val="nil"/>
              <w:bottom w:val="single" w:color="auto" w:sz="4" w:space="0"/>
              <w:right w:val="single" w:color="auto" w:sz="4" w:space="0"/>
            </w:tcBorders>
            <w:vAlign w:val="bottom"/>
          </w:tcPr>
          <w:p w14:paraId="24E87915"/>
        </w:tc>
        <w:tc>
          <w:tcPr>
            <w:tcW w:w="1853" w:type="dxa"/>
            <w:tcBorders>
              <w:top w:val="single" w:color="auto" w:sz="4" w:space="0"/>
              <w:left w:val="single" w:color="auto" w:sz="4" w:space="0"/>
              <w:bottom w:val="single" w:color="auto" w:sz="4" w:space="0"/>
              <w:right w:val="single" w:color="auto" w:sz="4" w:space="0"/>
            </w:tcBorders>
            <w:vAlign w:val="bottom"/>
          </w:tcPr>
          <w:p w14:paraId="0579F36C"/>
        </w:tc>
      </w:tr>
      <w:tr w14:paraId="29485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10466" w:type="dxa"/>
            <w:gridSpan w:val="3"/>
            <w:tcBorders>
              <w:top w:val="single" w:color="auto" w:sz="4" w:space="0"/>
              <w:left w:val="single" w:color="auto" w:sz="4" w:space="0"/>
              <w:bottom w:val="nil"/>
              <w:right w:val="single" w:color="auto" w:sz="4" w:space="0"/>
            </w:tcBorders>
            <w:vAlign w:val="center"/>
          </w:tcPr>
          <w:p w14:paraId="345A827B">
            <w:pPr>
              <w:rPr>
                <w:rFonts w:hint="eastAsia"/>
                <w:lang w:val="en-US" w:eastAsia="zh-CN"/>
              </w:rPr>
            </w:pPr>
          </w:p>
          <w:p w14:paraId="625B3563">
            <w:pPr>
              <w:rPr>
                <w:rFonts w:hint="default"/>
                <w:lang w:val="en-US" w:eastAsia="zh-CN"/>
              </w:rPr>
            </w:pPr>
            <w:r>
              <w:rPr>
                <w:rFonts w:hint="eastAsia"/>
                <w:lang w:val="en-US" w:eastAsia="zh-CN"/>
              </w:rPr>
              <w:t>组长       谈星宇HB241103   数据整合、模型构建、模型评估、PPT撰写</w:t>
            </w:r>
          </w:p>
          <w:p w14:paraId="036F4C90">
            <w:pPr>
              <w:rPr>
                <w:rFonts w:hint="default"/>
                <w:lang w:val="en-US" w:eastAsia="zh-CN"/>
              </w:rPr>
            </w:pPr>
            <w:r>
              <w:rPr>
                <w:rFonts w:hint="eastAsia"/>
                <w:lang w:val="en-US" w:eastAsia="zh-CN"/>
              </w:rPr>
              <w:t>成员       陈雨田HB241104   数据采集、报告撰写、PPT撰写、PPT第二次修改</w:t>
            </w:r>
          </w:p>
          <w:p w14:paraId="12B14BFB">
            <w:pPr>
              <w:ind w:firstLine="1440" w:firstLineChars="600"/>
              <w:rPr>
                <w:rFonts w:hint="default"/>
                <w:lang w:val="en-US" w:eastAsia="zh-CN"/>
              </w:rPr>
            </w:pPr>
            <w:r>
              <w:rPr>
                <w:rFonts w:hint="eastAsia"/>
                <w:lang w:val="en-US" w:eastAsia="zh-CN"/>
              </w:rPr>
              <w:t>李慧敏23117128   报告撰写、PPT撰写、报告第二次修改</w:t>
            </w:r>
          </w:p>
        </w:tc>
      </w:tr>
      <w:tr w14:paraId="2AC3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10466" w:type="dxa"/>
            <w:gridSpan w:val="3"/>
            <w:tcBorders>
              <w:top w:val="nil"/>
              <w:left w:val="single" w:color="auto" w:sz="4" w:space="0"/>
              <w:bottom w:val="single" w:color="auto" w:sz="4" w:space="0"/>
              <w:right w:val="single" w:color="auto" w:sz="4" w:space="0"/>
            </w:tcBorders>
            <w:vAlign w:val="center"/>
          </w:tcPr>
          <w:p w14:paraId="58756580"/>
        </w:tc>
      </w:tr>
      <w:tr w14:paraId="76A63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8" w:hRule="atLeast"/>
        </w:trPr>
        <w:tc>
          <w:tcPr>
            <w:tcW w:w="10466" w:type="dxa"/>
            <w:gridSpan w:val="3"/>
            <w:tcBorders>
              <w:top w:val="single" w:color="auto" w:sz="4" w:space="0"/>
              <w:left w:val="nil"/>
              <w:bottom w:val="nil"/>
              <w:right w:val="nil"/>
            </w:tcBorders>
            <w:vAlign w:val="center"/>
          </w:tcPr>
          <w:p w14:paraId="118FED04">
            <w:pPr>
              <w:jc w:val="center"/>
              <w:rPr>
                <w:rFonts w:hint="eastAsia"/>
                <w:sz w:val="60"/>
                <w:szCs w:val="60"/>
              </w:rPr>
            </w:pPr>
          </w:p>
          <w:p w14:paraId="2E314BDB">
            <w:pPr>
              <w:jc w:val="center"/>
              <w:rPr>
                <w:rFonts w:hint="eastAsia"/>
                <w:sz w:val="48"/>
                <w:szCs w:val="48"/>
              </w:rPr>
            </w:pPr>
            <w:r>
              <w:rPr>
                <w:rFonts w:hint="eastAsia"/>
                <w:sz w:val="48"/>
                <w:szCs w:val="48"/>
              </w:rPr>
              <w:t>基于Bert、ResNet和Qwen多模态模型从单模态到多模态的对比实验</w:t>
            </w:r>
          </w:p>
          <w:p w14:paraId="4886CE53">
            <w:pPr>
              <w:jc w:val="center"/>
            </w:pPr>
            <w:bookmarkStart w:id="8" w:name="_GoBack"/>
            <w:bookmarkEnd w:id="8"/>
            <w:r>
              <w:rPr>
                <w:rFonts w:hint="eastAsia"/>
                <w:sz w:val="48"/>
                <w:szCs w:val="48"/>
              </w:rPr>
              <w:t>课程报告</w:t>
            </w:r>
          </w:p>
        </w:tc>
      </w:tr>
      <w:tr w14:paraId="2927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1" w:hRule="atLeast"/>
        </w:trPr>
        <w:tc>
          <w:tcPr>
            <w:tcW w:w="10466" w:type="dxa"/>
            <w:gridSpan w:val="3"/>
            <w:tcBorders>
              <w:top w:val="nil"/>
              <w:left w:val="nil"/>
              <w:bottom w:val="nil"/>
              <w:right w:val="nil"/>
            </w:tcBorders>
            <w:vAlign w:val="center"/>
          </w:tcPr>
          <w:p w14:paraId="60F4C49D"/>
        </w:tc>
      </w:tr>
      <w:tr w14:paraId="659F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5" w:hRule="atLeast"/>
        </w:trPr>
        <w:tc>
          <w:tcPr>
            <w:tcW w:w="10466" w:type="dxa"/>
            <w:gridSpan w:val="3"/>
            <w:tcBorders>
              <w:top w:val="nil"/>
              <w:left w:val="nil"/>
              <w:bottom w:val="nil"/>
              <w:right w:val="nil"/>
            </w:tcBorders>
            <w:vAlign w:val="bottom"/>
          </w:tcPr>
          <w:p w14:paraId="1084236D">
            <w:r>
              <w:rPr>
                <w:rFonts w:hint="eastAsia"/>
              </w:rPr>
              <w:t>北京工业大学经济与管理学院</w:t>
            </w:r>
          </w:p>
          <w:p w14:paraId="384FBA01">
            <w:r>
              <w:rPr>
                <w:rFonts w:hint="eastAsia"/>
              </w:rPr>
              <w:t xml:space="preserve">2025年 </w:t>
            </w:r>
            <w:r>
              <w:fldChar w:fldCharType="begin"/>
            </w:r>
            <w:r>
              <w:instrText xml:space="preserve"> DATE \@ "M/d/yyyy" </w:instrText>
            </w:r>
            <w:r>
              <w:fldChar w:fldCharType="separate"/>
            </w:r>
            <w:r>
              <w:t>12/25/2025</w:t>
            </w:r>
            <w:r>
              <w:fldChar w:fldCharType="end"/>
            </w:r>
            <w:r>
              <w:t xml:space="preserve"> </w:t>
            </w:r>
          </w:p>
        </w:tc>
      </w:tr>
    </w:tbl>
    <w:p w14:paraId="5E6AB700"/>
    <w:p w14:paraId="1A1ACBE1">
      <w:pPr>
        <w:spacing w:before="0" w:beforeAutospacing="0" w:after="0" w:afterAutospacing="0"/>
      </w:pPr>
      <w:r>
        <w:br w:type="page"/>
      </w:r>
    </w:p>
    <w:sdt>
      <w:sdtPr>
        <w:rPr>
          <w:rFonts w:ascii="Times New Roman" w:hAnsi="Times New Roman" w:eastAsia="宋体" w:cs="宋体"/>
          <w:color w:val="auto"/>
          <w:sz w:val="24"/>
          <w:szCs w:val="24"/>
          <w:lang w:val="zh-CN"/>
        </w:rPr>
        <w:id w:val="358560646"/>
        <w:docPartObj>
          <w:docPartGallery w:val="Table of Contents"/>
          <w:docPartUnique/>
        </w:docPartObj>
      </w:sdtPr>
      <w:sdtEndPr>
        <w:rPr>
          <w:rFonts w:ascii="Times New Roman" w:hAnsi="Times New Roman" w:eastAsia="宋体" w:cs="宋体"/>
          <w:b/>
          <w:bCs/>
          <w:color w:val="auto"/>
          <w:sz w:val="24"/>
          <w:szCs w:val="24"/>
          <w:lang w:val="zh-CN"/>
        </w:rPr>
      </w:sdtEndPr>
      <w:sdtContent>
        <w:p w14:paraId="6C2A4C37">
          <w:pPr>
            <w:pStyle w:val="34"/>
          </w:pPr>
          <w:r>
            <w:rPr>
              <w:lang w:val="zh-CN"/>
            </w:rPr>
            <w:t>目录</w:t>
          </w:r>
        </w:p>
        <w:p w14:paraId="66383F36">
          <w:pPr>
            <w:pStyle w:val="12"/>
            <w:tabs>
              <w:tab w:val="right" w:leader="dot" w:pos="10456"/>
            </w:tabs>
            <w:rPr>
              <w:rFonts w:asciiTheme="minorHAnsi" w:hAnsiTheme="minorHAnsi" w:eastAsiaTheme="minorEastAsia" w:cstheme="minorBidi"/>
              <w:kern w:val="2"/>
              <w:sz w:val="22"/>
              <w14:ligatures w14:val="standardContextual"/>
            </w:rPr>
          </w:pPr>
          <w:r>
            <w:fldChar w:fldCharType="begin"/>
          </w:r>
          <w:r>
            <w:instrText xml:space="preserve"> TOC \o "1-1" \h \z \u </w:instrText>
          </w:r>
          <w:r>
            <w:fldChar w:fldCharType="separate"/>
          </w:r>
          <w:r>
            <w:fldChar w:fldCharType="begin"/>
          </w:r>
          <w:r>
            <w:instrText xml:space="preserve"> HYPERLINK \l "_Toc217035981" </w:instrText>
          </w:r>
          <w:r>
            <w:fldChar w:fldCharType="separate"/>
          </w:r>
          <w:r>
            <w:rPr>
              <w:rStyle w:val="20"/>
              <w:rFonts w:hint="eastAsia"/>
            </w:rPr>
            <w:t>摘要</w:t>
          </w:r>
          <w:r>
            <w:rPr>
              <w:rFonts w:hint="eastAsia"/>
            </w:rPr>
            <w:tab/>
          </w:r>
          <w:r>
            <w:rPr>
              <w:rFonts w:hint="eastAsia"/>
            </w:rPr>
            <w:fldChar w:fldCharType="begin"/>
          </w:r>
          <w:r>
            <w:rPr>
              <w:rFonts w:hint="eastAsia"/>
            </w:rPr>
            <w:instrText xml:space="preserve"> </w:instrText>
          </w:r>
          <w:r>
            <w:instrText xml:space="preserve">PAGEREF _Toc217035981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6DDEC36">
          <w:pPr>
            <w:pStyle w:val="12"/>
            <w:tabs>
              <w:tab w:val="left" w:pos="420"/>
              <w:tab w:val="right" w:leader="dot" w:pos="10456"/>
            </w:tabs>
            <w:rPr>
              <w:rFonts w:asciiTheme="minorHAnsi" w:hAnsiTheme="minorHAnsi" w:eastAsiaTheme="minorEastAsia" w:cstheme="minorBidi"/>
              <w:kern w:val="2"/>
              <w:sz w:val="22"/>
              <w14:ligatures w14:val="standardContextual"/>
            </w:rPr>
          </w:pPr>
          <w:r>
            <w:fldChar w:fldCharType="begin"/>
          </w:r>
          <w:r>
            <w:instrText xml:space="preserve"> HYPERLINK \l "_Toc217035982" </w:instrText>
          </w:r>
          <w:r>
            <w:fldChar w:fldCharType="separate"/>
          </w:r>
          <w:r>
            <w:rPr>
              <w:rStyle w:val="20"/>
              <w:rFonts w:hint="eastAsia"/>
            </w:rPr>
            <w:t>1</w:t>
          </w:r>
          <w:r>
            <w:rPr>
              <w:rFonts w:hint="eastAsia" w:asciiTheme="minorHAnsi" w:hAnsiTheme="minorHAnsi" w:eastAsiaTheme="minorEastAsia" w:cstheme="minorBidi"/>
              <w:kern w:val="2"/>
              <w:sz w:val="22"/>
              <w14:ligatures w14:val="standardContextual"/>
            </w:rPr>
            <w:tab/>
          </w:r>
          <w:r>
            <w:rPr>
              <w:rStyle w:val="20"/>
              <w:rFonts w:hint="eastAsia"/>
            </w:rPr>
            <w:t>引言</w:t>
          </w:r>
          <w:r>
            <w:rPr>
              <w:rFonts w:hint="eastAsia"/>
            </w:rPr>
            <w:tab/>
          </w:r>
          <w:r>
            <w:rPr>
              <w:rFonts w:hint="eastAsia"/>
            </w:rPr>
            <w:fldChar w:fldCharType="begin"/>
          </w:r>
          <w:r>
            <w:rPr>
              <w:rFonts w:hint="eastAsia"/>
            </w:rPr>
            <w:instrText xml:space="preserve"> </w:instrText>
          </w:r>
          <w:r>
            <w:instrText xml:space="preserve">PAGEREF _Toc217035982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ABB952E">
          <w:pPr>
            <w:pStyle w:val="12"/>
            <w:tabs>
              <w:tab w:val="left" w:pos="420"/>
              <w:tab w:val="right" w:leader="dot" w:pos="10456"/>
            </w:tabs>
            <w:rPr>
              <w:rFonts w:asciiTheme="minorHAnsi" w:hAnsiTheme="minorHAnsi" w:eastAsiaTheme="minorEastAsia" w:cstheme="minorBidi"/>
              <w:kern w:val="2"/>
              <w:sz w:val="22"/>
              <w14:ligatures w14:val="standardContextual"/>
            </w:rPr>
          </w:pPr>
          <w:r>
            <w:fldChar w:fldCharType="begin"/>
          </w:r>
          <w:r>
            <w:instrText xml:space="preserve"> HYPERLINK \l "_Toc217035983" </w:instrText>
          </w:r>
          <w:r>
            <w:fldChar w:fldCharType="separate"/>
          </w:r>
          <w:r>
            <w:rPr>
              <w:rStyle w:val="20"/>
              <w:rFonts w:hint="eastAsia"/>
            </w:rPr>
            <w:t>2</w:t>
          </w:r>
          <w:r>
            <w:rPr>
              <w:rFonts w:hint="eastAsia" w:asciiTheme="minorHAnsi" w:hAnsiTheme="minorHAnsi" w:eastAsiaTheme="minorEastAsia" w:cstheme="minorBidi"/>
              <w:kern w:val="2"/>
              <w:sz w:val="22"/>
              <w14:ligatures w14:val="standardContextual"/>
            </w:rPr>
            <w:tab/>
          </w:r>
          <w:r>
            <w:rPr>
              <w:rStyle w:val="20"/>
              <w:rFonts w:hint="eastAsia"/>
            </w:rPr>
            <w:t>相关研究综述</w:t>
          </w:r>
          <w:r>
            <w:rPr>
              <w:rFonts w:hint="eastAsia"/>
            </w:rPr>
            <w:tab/>
          </w:r>
          <w:r>
            <w:rPr>
              <w:rFonts w:hint="eastAsia"/>
            </w:rPr>
            <w:fldChar w:fldCharType="begin"/>
          </w:r>
          <w:r>
            <w:rPr>
              <w:rFonts w:hint="eastAsia"/>
            </w:rPr>
            <w:instrText xml:space="preserve"> </w:instrText>
          </w:r>
          <w:r>
            <w:instrText xml:space="preserve">PAGEREF _Toc217035983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956DD13">
          <w:pPr>
            <w:pStyle w:val="12"/>
            <w:tabs>
              <w:tab w:val="left" w:pos="420"/>
              <w:tab w:val="right" w:leader="dot" w:pos="10456"/>
            </w:tabs>
            <w:rPr>
              <w:rFonts w:asciiTheme="minorHAnsi" w:hAnsiTheme="minorHAnsi" w:eastAsiaTheme="minorEastAsia" w:cstheme="minorBidi"/>
              <w:kern w:val="2"/>
              <w:sz w:val="22"/>
              <w14:ligatures w14:val="standardContextual"/>
            </w:rPr>
          </w:pPr>
          <w:r>
            <w:fldChar w:fldCharType="begin"/>
          </w:r>
          <w:r>
            <w:instrText xml:space="preserve"> HYPERLINK \l "_Toc217035984" </w:instrText>
          </w:r>
          <w:r>
            <w:fldChar w:fldCharType="separate"/>
          </w:r>
          <w:r>
            <w:rPr>
              <w:rStyle w:val="20"/>
              <w:rFonts w:hint="eastAsia"/>
            </w:rPr>
            <w:t>3</w:t>
          </w:r>
          <w:r>
            <w:rPr>
              <w:rFonts w:hint="eastAsia" w:asciiTheme="minorHAnsi" w:hAnsiTheme="minorHAnsi" w:eastAsiaTheme="minorEastAsia" w:cstheme="minorBidi"/>
              <w:kern w:val="2"/>
              <w:sz w:val="22"/>
              <w14:ligatures w14:val="standardContextual"/>
            </w:rPr>
            <w:tab/>
          </w:r>
          <w:r>
            <w:rPr>
              <w:rStyle w:val="20"/>
              <w:rFonts w:hint="eastAsia"/>
            </w:rPr>
            <w:t>研究方法</w:t>
          </w:r>
          <w:r>
            <w:rPr>
              <w:rFonts w:hint="eastAsia"/>
            </w:rPr>
            <w:tab/>
          </w:r>
          <w:r>
            <w:rPr>
              <w:rFonts w:hint="eastAsia"/>
            </w:rPr>
            <w:fldChar w:fldCharType="begin"/>
          </w:r>
          <w:r>
            <w:rPr>
              <w:rFonts w:hint="eastAsia"/>
            </w:rPr>
            <w:instrText xml:space="preserve"> </w:instrText>
          </w:r>
          <w:r>
            <w:instrText xml:space="preserve">PAGEREF _Toc217035984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46C1A2A">
          <w:pPr>
            <w:pStyle w:val="12"/>
            <w:tabs>
              <w:tab w:val="left" w:pos="420"/>
              <w:tab w:val="right" w:leader="dot" w:pos="10456"/>
            </w:tabs>
            <w:rPr>
              <w:rFonts w:asciiTheme="minorHAnsi" w:hAnsiTheme="minorHAnsi" w:eastAsiaTheme="minorEastAsia" w:cstheme="minorBidi"/>
              <w:kern w:val="2"/>
              <w:sz w:val="22"/>
              <w14:ligatures w14:val="standardContextual"/>
            </w:rPr>
          </w:pPr>
          <w:r>
            <w:fldChar w:fldCharType="begin"/>
          </w:r>
          <w:r>
            <w:instrText xml:space="preserve"> HYPERLINK \l "_Toc217035985" </w:instrText>
          </w:r>
          <w:r>
            <w:fldChar w:fldCharType="separate"/>
          </w:r>
          <w:r>
            <w:rPr>
              <w:rStyle w:val="20"/>
              <w:rFonts w:hint="eastAsia"/>
            </w:rPr>
            <w:t>4</w:t>
          </w:r>
          <w:r>
            <w:rPr>
              <w:rFonts w:hint="eastAsia" w:asciiTheme="minorHAnsi" w:hAnsiTheme="minorHAnsi" w:eastAsiaTheme="minorEastAsia" w:cstheme="minorBidi"/>
              <w:kern w:val="2"/>
              <w:sz w:val="22"/>
              <w14:ligatures w14:val="standardContextual"/>
            </w:rPr>
            <w:tab/>
          </w:r>
          <w:r>
            <w:rPr>
              <w:rStyle w:val="20"/>
              <w:rFonts w:hint="eastAsia"/>
            </w:rPr>
            <w:t>基于BERT的文本情感分类实验</w:t>
          </w:r>
          <w:r>
            <w:rPr>
              <w:rFonts w:hint="eastAsia"/>
            </w:rPr>
            <w:tab/>
          </w:r>
          <w:r>
            <w:rPr>
              <w:rFonts w:hint="eastAsia"/>
            </w:rPr>
            <w:fldChar w:fldCharType="begin"/>
          </w:r>
          <w:r>
            <w:rPr>
              <w:rFonts w:hint="eastAsia"/>
            </w:rPr>
            <w:instrText xml:space="preserve"> </w:instrText>
          </w:r>
          <w:r>
            <w:instrText xml:space="preserve">PAGEREF _Toc217035985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2348531">
          <w:pPr>
            <w:pStyle w:val="12"/>
            <w:tabs>
              <w:tab w:val="left" w:pos="420"/>
              <w:tab w:val="right" w:leader="dot" w:pos="10456"/>
            </w:tabs>
            <w:rPr>
              <w:rFonts w:asciiTheme="minorHAnsi" w:hAnsiTheme="minorHAnsi" w:eastAsiaTheme="minorEastAsia" w:cstheme="minorBidi"/>
              <w:kern w:val="2"/>
              <w:sz w:val="22"/>
              <w14:ligatures w14:val="standardContextual"/>
            </w:rPr>
          </w:pPr>
          <w:r>
            <w:fldChar w:fldCharType="begin"/>
          </w:r>
          <w:r>
            <w:instrText xml:space="preserve"> HYPERLINK \l "_Toc217035986" </w:instrText>
          </w:r>
          <w:r>
            <w:fldChar w:fldCharType="separate"/>
          </w:r>
          <w:r>
            <w:rPr>
              <w:rStyle w:val="20"/>
              <w:rFonts w:hint="eastAsia"/>
            </w:rPr>
            <w:t>5</w:t>
          </w:r>
          <w:r>
            <w:rPr>
              <w:rFonts w:hint="eastAsia" w:asciiTheme="minorHAnsi" w:hAnsiTheme="minorHAnsi" w:eastAsiaTheme="minorEastAsia" w:cstheme="minorBidi"/>
              <w:kern w:val="2"/>
              <w:sz w:val="22"/>
              <w14:ligatures w14:val="standardContextual"/>
            </w:rPr>
            <w:tab/>
          </w:r>
          <w:r>
            <w:rPr>
              <w:rStyle w:val="20"/>
              <w:rFonts w:hint="eastAsia"/>
            </w:rPr>
            <w:t>基于ResNet的图像分类实验</w:t>
          </w:r>
          <w:r>
            <w:rPr>
              <w:rFonts w:hint="eastAsia"/>
            </w:rPr>
            <w:tab/>
          </w:r>
          <w:r>
            <w:rPr>
              <w:rFonts w:hint="eastAsia"/>
            </w:rPr>
            <w:fldChar w:fldCharType="begin"/>
          </w:r>
          <w:r>
            <w:rPr>
              <w:rFonts w:hint="eastAsia"/>
            </w:rPr>
            <w:instrText xml:space="preserve"> </w:instrText>
          </w:r>
          <w:r>
            <w:instrText xml:space="preserve">PAGEREF _Toc217035986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3E66AAA">
          <w:pPr>
            <w:pStyle w:val="12"/>
            <w:tabs>
              <w:tab w:val="left" w:pos="420"/>
              <w:tab w:val="right" w:leader="dot" w:pos="10456"/>
            </w:tabs>
            <w:rPr>
              <w:rFonts w:asciiTheme="minorHAnsi" w:hAnsiTheme="minorHAnsi" w:eastAsiaTheme="minorEastAsia" w:cstheme="minorBidi"/>
              <w:kern w:val="2"/>
              <w:sz w:val="22"/>
              <w14:ligatures w14:val="standardContextual"/>
            </w:rPr>
          </w:pPr>
          <w:r>
            <w:fldChar w:fldCharType="begin"/>
          </w:r>
          <w:r>
            <w:instrText xml:space="preserve"> HYPERLINK \l "_Toc217035987" </w:instrText>
          </w:r>
          <w:r>
            <w:fldChar w:fldCharType="separate"/>
          </w:r>
          <w:r>
            <w:rPr>
              <w:rStyle w:val="20"/>
              <w:rFonts w:hint="eastAsia"/>
            </w:rPr>
            <w:t>6</w:t>
          </w:r>
          <w:r>
            <w:rPr>
              <w:rFonts w:hint="eastAsia" w:asciiTheme="minorHAnsi" w:hAnsiTheme="minorHAnsi" w:eastAsiaTheme="minorEastAsia" w:cstheme="minorBidi"/>
              <w:kern w:val="2"/>
              <w:sz w:val="22"/>
              <w14:ligatures w14:val="standardContextual"/>
            </w:rPr>
            <w:tab/>
          </w:r>
          <w:r>
            <w:rPr>
              <w:rStyle w:val="20"/>
              <w:rFonts w:hint="eastAsia"/>
            </w:rPr>
            <w:t>基于Qwen2.5-VL-2B的图像识别实验</w:t>
          </w:r>
          <w:r>
            <w:rPr>
              <w:rFonts w:hint="eastAsia"/>
            </w:rPr>
            <w:tab/>
          </w:r>
          <w:r>
            <w:rPr>
              <w:rFonts w:hint="eastAsia"/>
            </w:rPr>
            <w:fldChar w:fldCharType="begin"/>
          </w:r>
          <w:r>
            <w:rPr>
              <w:rFonts w:hint="eastAsia"/>
            </w:rPr>
            <w:instrText xml:space="preserve"> </w:instrText>
          </w:r>
          <w:r>
            <w:instrText xml:space="preserve">PAGEREF _Toc217035987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2996C8A3">
          <w:pPr>
            <w:pStyle w:val="12"/>
            <w:tabs>
              <w:tab w:val="left" w:pos="420"/>
              <w:tab w:val="right" w:leader="dot" w:pos="10456"/>
            </w:tabs>
            <w:rPr>
              <w:rFonts w:asciiTheme="minorHAnsi" w:hAnsiTheme="minorHAnsi" w:eastAsiaTheme="minorEastAsia" w:cstheme="minorBidi"/>
              <w:kern w:val="2"/>
              <w:sz w:val="22"/>
              <w14:ligatures w14:val="standardContextual"/>
            </w:rPr>
          </w:pPr>
          <w:r>
            <w:fldChar w:fldCharType="begin"/>
          </w:r>
          <w:r>
            <w:instrText xml:space="preserve"> HYPERLINK \l "_Toc217035988" </w:instrText>
          </w:r>
          <w:r>
            <w:fldChar w:fldCharType="separate"/>
          </w:r>
          <w:r>
            <w:rPr>
              <w:rStyle w:val="20"/>
              <w:rFonts w:hint="eastAsia"/>
            </w:rPr>
            <w:t>7</w:t>
          </w:r>
          <w:r>
            <w:rPr>
              <w:rFonts w:hint="eastAsia" w:asciiTheme="minorHAnsi" w:hAnsiTheme="minorHAnsi" w:eastAsiaTheme="minorEastAsia" w:cstheme="minorBidi"/>
              <w:kern w:val="2"/>
              <w:sz w:val="22"/>
              <w14:ligatures w14:val="standardContextual"/>
            </w:rPr>
            <w:tab/>
          </w:r>
          <w:r>
            <w:rPr>
              <w:rStyle w:val="20"/>
              <w:rFonts w:hint="eastAsia"/>
            </w:rPr>
            <w:t>总结</w:t>
          </w:r>
          <w:r>
            <w:rPr>
              <w:rFonts w:hint="eastAsia"/>
            </w:rPr>
            <w:tab/>
          </w:r>
          <w:r>
            <w:rPr>
              <w:rFonts w:hint="eastAsia"/>
            </w:rPr>
            <w:fldChar w:fldCharType="begin"/>
          </w:r>
          <w:r>
            <w:rPr>
              <w:rFonts w:hint="eastAsia"/>
            </w:rPr>
            <w:instrText xml:space="preserve"> </w:instrText>
          </w:r>
          <w:r>
            <w:instrText xml:space="preserve">PAGEREF _Toc217035988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89BEDA2">
          <w:pPr>
            <w:pStyle w:val="12"/>
            <w:tabs>
              <w:tab w:val="right" w:leader="dot" w:pos="10456"/>
            </w:tabs>
            <w:rPr>
              <w:rFonts w:asciiTheme="minorHAnsi" w:hAnsiTheme="minorHAnsi" w:eastAsiaTheme="minorEastAsia" w:cstheme="minorBidi"/>
              <w:kern w:val="2"/>
              <w:sz w:val="22"/>
              <w14:ligatures w14:val="standardContextual"/>
            </w:rPr>
          </w:pPr>
          <w:r>
            <w:fldChar w:fldCharType="begin"/>
          </w:r>
          <w:r>
            <w:instrText xml:space="preserve"> HYPERLINK \l "_Toc217035989" </w:instrText>
          </w:r>
          <w:r>
            <w:fldChar w:fldCharType="separate"/>
          </w:r>
          <w:r>
            <w:rPr>
              <w:rStyle w:val="20"/>
              <w:rFonts w:hint="eastAsia"/>
            </w:rPr>
            <w:t>参考文献</w:t>
          </w:r>
          <w:r>
            <w:rPr>
              <w:rFonts w:hint="eastAsia"/>
            </w:rPr>
            <w:tab/>
          </w:r>
          <w:r>
            <w:rPr>
              <w:rFonts w:hint="eastAsia"/>
            </w:rPr>
            <w:fldChar w:fldCharType="begin"/>
          </w:r>
          <w:r>
            <w:rPr>
              <w:rFonts w:hint="eastAsia"/>
            </w:rPr>
            <w:instrText xml:space="preserve"> </w:instrText>
          </w:r>
          <w:r>
            <w:instrText xml:space="preserve">PAGEREF _Toc217035989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DBABEFC">
          <w:r>
            <w:fldChar w:fldCharType="end"/>
          </w:r>
        </w:p>
      </w:sdtContent>
    </w:sdt>
    <w:p w14:paraId="578DE4B9"/>
    <w:p w14:paraId="4CD5780D">
      <w:pPr>
        <w:spacing w:before="0" w:beforeAutospacing="0" w:after="0" w:afterAutospacing="0"/>
      </w:pPr>
      <w:r>
        <w:br w:type="page"/>
      </w:r>
    </w:p>
    <w:p w14:paraId="6C62155B">
      <w:pPr>
        <w:pStyle w:val="2"/>
        <w:numPr>
          <w:ilvl w:val="0"/>
          <w:numId w:val="0"/>
        </w:numPr>
      </w:pPr>
      <w:bookmarkStart w:id="0" w:name="_Toc217035981"/>
      <w:r>
        <w:t>摘要</w:t>
      </w:r>
      <w:bookmarkEnd w:id="0"/>
    </w:p>
    <w:p w14:paraId="09DA423E">
      <w:pPr>
        <w:ind w:firstLine="420"/>
      </w:pPr>
      <w:r>
        <w:t>随着人工智能技术的深度演进，多模态大语言模型通过融合文本、图像等多源信息，为金融领域的情感识别、资产定价、风险评估等核心业务提供了新的技术路径。然而，现有研究在多模态金融数据质量管控、跨模态对齐以及与业务深层逻辑融合方面仍存在显著缺口，股票市场情绪识别模型面临数据分布偏移、泛化能力不足、可解释性欠缺等核心挑战。本研究聚焦多模态技术与金融业务的深度融合，系统梳理了多模态大语言模型的技术演进与国内外应用现状，重点剖析了金融领域情绪识别、资产定价、风险评估、智能客服四大核心研究方向，深入探讨了多模态股票市场情绪识别模型的创新路径与核心难点。基于资源约束和研究聚焦原则，本文采用渐进式研究策略，通过单模态实验为多模态融合积累技术储备。在文本模态方面，构建了基于BERT-BiLSTM的混合情感分类模型，在商品评论数据集上实现了92.31%的测试准确率，验证了预训练语言模型在情感分析任务中的有效性。在图像模态方面，系统对比了ResNet18至ResNet152五种不同深度的残差网络，揭示了网络深度与性能之间的非线性关系，其中ResNet50以95.04%的验证准确率取得最佳性能。实验结果表明，适度的模型深度配合有效的训练策略能够在性能、效率和稳定性之间取得最优平衡。本研究为多模态技术在金融情感识别领域的应用提供了实证基础和实践参考，对于推动金融科技的智能化升级具有重要的理论和现实意义。</w:t>
      </w:r>
    </w:p>
    <w:p w14:paraId="07FFA056">
      <w:pPr>
        <w:jc w:val="both"/>
      </w:pPr>
      <w:r>
        <w:t>关键词： 多模态学习；情感识别；BERT；ResNet；深度学习；金融科技</w:t>
      </w:r>
    </w:p>
    <w:p w14:paraId="60ABC403">
      <w:pPr>
        <w:pStyle w:val="2"/>
      </w:pPr>
      <w:bookmarkStart w:id="1" w:name="_Toc217035982"/>
      <w:r>
        <w:t>引言</w:t>
      </w:r>
      <w:bookmarkEnd w:id="1"/>
    </w:p>
    <w:p w14:paraId="1F5F27A0">
      <w:pPr>
        <w:pStyle w:val="3"/>
      </w:pPr>
      <w:r>
        <w:t>研究背景</w:t>
      </w:r>
    </w:p>
    <w:p w14:paraId="00D2A2BB">
      <w:pPr>
        <w:ind w:firstLine="420"/>
      </w:pPr>
      <w:r>
        <w:t>人工智能技术的发展历程深刻地改变了金融领域的运作模式。早在1950至1980年代的人工智能起源期，专家系统便开始在医疗、金融等领域初步应用，如金融风险规则引擎的出现推动了AI短暂复苏，然而由于泛化能力较弱，1987年AI再次进入"寒冬"。随后的1980至2010年，机器学习的崛起带来了新的转机，支持向量机、决策树算法等方法的优化使得随机森林等技术得以提出，AI研究从"规则驱动"转向"数据驱动"，开始能够处理结构化数据如表格数据，但对非结构化数据（图像、文本）的适配仍显不足。2012年标志着深度学习爆发期的开端，AlexNet在ImageNet图像识别竞赛中以16%的错误率夺冠，卷积神经网络（CNN）成为图像处理的核心架构，然而在金融领域仍以单一模态处理为主，无法融合多源异构数据。</w:t>
      </w:r>
    </w:p>
    <w:p w14:paraId="2BB99090">
      <w:pPr>
        <w:ind w:firstLine="420"/>
      </w:pPr>
      <w:r>
        <w:t>进入多模态大模型时代，人工智能技术迎来了革命性突破。OpenAI发布的CLIP对比学习图文对齐模型和DALL·E文本生成图像模型，以及Gemini等模型原生支持文本、图像、音频、视频多模态的统一处理，真正实现了从"拼接融合"到"原生统一"的跨越。多模态大语言模型（MM-LLMs）通过模态编码器、输入投影仪、大语言模型主干等核心组件的协同设计，以仅优化约2%可训练参数的轻量化架构，实现了文本、图像、音频等多源信息的高效整合与跨模态交互，成为突破传统单模态技术局限的关键力量。其标准化的"多模态预训练+指令调优"训练流程，结合参数高效微调方法，大幅降低了技术落地成本，推动多模态技术在全球范围内实现规模化应用。</w:t>
      </w:r>
    </w:p>
    <w:p w14:paraId="662380E8">
      <w:pPr>
        <w:ind w:firstLine="420"/>
      </w:pPr>
      <w:r>
        <w:t>国际上，BLIP-2、LLaVA等模型通过Q-Former、线性投影层等创新组件实现了模态间的高效对齐，Gemini、GPT-4 Vision等展现出强大的多模态理解与生成能力。国内则在自主模型研发方面取得显著进展，华为Qwen-Audio、字节ERNIE-ViL等模型相继问世，本土化数据集建设如京东JDDC 2.0、清华大学MMMU等为研究提供了重要支撑，电子科技大学、北京邮电大学等机构形成了稳定的研究网络。在应用层面，国外通过多模态模型整合财报文本、K线图、电话会议音频等信息，优化资产定价与风险评估模型；国内则依托FinGPT、QuantPlus等平台，推动多模态技术在量化交易、小微企业信用评估、智能理赔等场景的落地。</w:t>
      </w:r>
    </w:p>
    <w:p w14:paraId="71F9325D">
      <w:pPr>
        <w:pStyle w:val="3"/>
      </w:pPr>
      <w:r>
        <w:t>研究动机</w:t>
      </w:r>
    </w:p>
    <w:p w14:paraId="78AC137F">
      <w:pPr>
        <w:ind w:firstLine="420"/>
      </w:pPr>
      <w:r>
        <w:t>在金融领域，多模态技术凭借对异构信息的深度挖掘能力，已深度渗透情绪识别、资产定价、风险评估、智能客服等核心业务，成为破解金融数据多源异构、决策精准性不足等痛点的关键引擎，其应用水平直接决定金融机构的核心竞争力。现代金融市场产生的数据呈现出显著的多模态特性：新闻报道、财报文本、社交媒体评论构成了文本模态信息；K线图、技术指标图、热力图等视觉化数据形成了图像模态信息；而投资者情绪、市场氛围等隐性因素则需要通过跨模态分析才能有效捕获。传统的单模态分析方法往往只能处理其中某一类型的数据，难以全面把握市场的真实状态，导致分析结果存在片面性和局限性。</w:t>
      </w:r>
    </w:p>
    <w:p w14:paraId="5521B679">
      <w:pPr>
        <w:ind w:firstLine="420"/>
      </w:pPr>
      <w:r>
        <w:t>股票市场情绪识别作为金融分析的重要环节，对投资决策、风险管理具有重要指导意义。然而，市场情绪的形成和传播往往是多源信息共同作用的结果：一方面，文本信息如新闻标题、评论内容直接表达了市场参与者的态度和预期；另一方面，图表数据如股价走势、成交量变化等视觉信息也蕴含着丰富的情绪信号。单纯依靠文本或图像中的任何一种模态都难以准确把握市场情绪的全貌，这就迫切需要建立能够融合多种模态信息的智能分析系统。</w:t>
      </w:r>
    </w:p>
    <w:p w14:paraId="560DDC4B">
      <w:pPr>
        <w:pStyle w:val="3"/>
        <w:numPr>
          <w:ilvl w:val="1"/>
          <w:numId w:val="0"/>
        </w:numPr>
        <w:ind w:firstLine="240" w:firstLineChars="100"/>
      </w:pPr>
      <w:r>
        <w:rPr>
          <w:rFonts w:hint="eastAsia"/>
          <w:lang w:val="en-US" w:eastAsia="zh-CN"/>
        </w:rPr>
        <w:t xml:space="preserve">1.3  </w:t>
      </w:r>
      <w:r>
        <w:t>研究现状与挑战</w:t>
      </w:r>
    </w:p>
    <w:p w14:paraId="70DCB20D">
      <w:pPr>
        <w:ind w:firstLine="420"/>
      </w:pPr>
      <w:r>
        <w:t>国内外研究已在多模态金融应用领域积累了丰富基础。在情绪识别方面，研究者尝试通过融合文本情感分析与图像特征提取来捕捉市场情绪的多维信号；在资产定价领域，多模态模型被用于整合结构化数据与非结构化信息以提升价格预测精度；在风险评估场景中，跨模态信息融合有助于构建更全面的风险画像；而在智能客服应用中，多模态理解能力的提升显著改善了用户体验。这些研究为多模态技术在金融领域的应用奠定了理论和实践基础。</w:t>
      </w:r>
    </w:p>
    <w:p w14:paraId="5DA78386">
      <w:pPr>
        <w:ind w:firstLine="420"/>
      </w:pPr>
      <w:r>
        <w:t>然而，现有研究仍存在显著缺口。多模态金融数据的质量管控与跨模态对齐难题突出，不同数据源的采集标准、时间粒度、质量水平往往存在较大差异，如何确保数据的一致性和可靠性成为首要挑战。股票市场情绪识别模型面临数据分布偏移、泛化能力不足、可解释性欠缺等核心问题：真实市场环境下的数据分布随时间动态变化，训练数据与测试数据之间可能存在显著差异；模型在特定市场或时间段训练后，往往难以有效迁移到其他场景；而金融决策对模型的可解释性要求极高，单纯追求预测准确率而忽视决策逻辑的"黑箱"模型难以获得实际应用的信任。</w:t>
      </w:r>
    </w:p>
    <w:p w14:paraId="7E6D8D9C">
      <w:pPr>
        <w:ind w:firstLine="420"/>
      </w:pPr>
      <w:r>
        <w:t>此外，多模态技术与金融领域深层业务逻辑的融合仍不充分。跨市场泛化能力有待提升，不同国家和地区的金融市场在交易机制、投资者结构、信息披露制度等方面存在差异，模型能否适应这些差异尚需验证。实时性优化问题同样亟待解决，金融市场瞬息万变，情绪识别系统必须具备快速响应能力，但复杂的多模态模型往往伴随着较高的计算成本和推理延迟。标注成本问题也不容忽视，高质量的多模态标注数据获取成本高昂，如何降低对人工标注的依赖成为实际应用中的重要课题。</w:t>
      </w:r>
    </w:p>
    <w:p w14:paraId="6CE3F231">
      <w:pPr>
        <w:ind w:firstLine="420"/>
      </w:pPr>
      <w:r>
        <w:t>基于大语言模型的多模态股票市场情绪识别模型，通过引入LLM驱动的伪标签生成机制、文本-图像跨模态深度融合架构、模仿学习训练框架等创新设计，有效缓解了标注依赖、信息捕捉不全面、训练复杂度高等传统问题。然而其研发与落地仍受制于真实市场数据的噪声干扰、跨模态语义鸿沟、LLM领域适配偏差以及模型可解释性与实时性的双重约束，这些问题不仅制约了多模态情绪识别模型的性能提升，也为多模态技术在金融领域的深度应用设置了障碍。</w:t>
      </w:r>
    </w:p>
    <w:p w14:paraId="26043AA3">
      <w:pPr>
        <w:pStyle w:val="3"/>
      </w:pPr>
      <w:r>
        <w:t>研究目标与贡献</w:t>
      </w:r>
    </w:p>
    <w:p w14:paraId="756B9F69">
      <w:pPr>
        <w:ind w:firstLine="420"/>
      </w:pPr>
      <w:r>
        <w:t>为深入探索多模态技术在金融领域的应用潜力，本文聚焦多模态技术与金融业务的深度融合，开展了一系列探索性研究工作。首先，系统梳理了MM-LLMs的技术演进脉络与国内外应用现状，为理解多模态技术的发展趋势提供了全景视角。其次，重点剖析了金融领域四大核心研究方向的最新动态，包括情绪识别、资产定价、风险评估与智能客服，明确了多模态技术在这些场景中的价值定位与实现路径。再次，深入探讨了多模态股票市场情绪识别模型的创新路径与核心难点，为后续研究提供了理论指导。</w:t>
      </w:r>
    </w:p>
    <w:p w14:paraId="3CCF6366">
      <w:pPr>
        <w:ind w:firstLine="420"/>
      </w:pPr>
      <w:r>
        <w:t>在实践层面，本文结合Kaggle、SwanLab等数据学习在线平台和大模型可视化在线实验室，为自主复现并探索多模态大模型在股票市场中的应用提供了技术支持与实施指导。基于论文的复杂性和现实资源的有限性，本研究选择性地实现了部分核心内容：完成了单模态BERT语义模型在十大类别商品数据集上的情感识别实验，验证了预训练语言模型在文本情感分析任务中的有效性；完成了单模态ResNet在CIFAR-10数据集上的图像分类实验，对比分析了不同深度残差网络的性能表现；对专家模型伪标签生成实验和多模态模型融合实验进行了理论探讨与初步设计。</w:t>
      </w:r>
    </w:p>
    <w:p w14:paraId="7B251B64">
      <w:pPr>
        <w:ind w:firstLine="420"/>
      </w:pPr>
      <w:r>
        <w:t>本文的研究贡献在于：第一，通过系统梳理多模态技术演进历程与金融应用现状，为相关研究提供了全面的文献综述基础；第二，通过实际的单模态实验验证了BERT和ResNet等经典模型在情感分析和图像识别任务中的性能特点，为多模态融合提供了扎实的技术储备；第三，在资源受限的条件下探索了多模态研究的可行路径，为后续研究者提供了实践参考。</w:t>
      </w:r>
    </w:p>
    <w:p w14:paraId="1145C9EF">
      <w:pPr>
        <w:ind w:firstLine="420"/>
      </w:pPr>
      <w:r>
        <w:t>本文的组织结构如下：第2章介绍相关工作，梳理多模态大语言模型与金融情感分析的研究进展；第3章阐述研究方法，说明总体框架与实验设计原则；第4章详述基于BERT的文本情感分类实验，包括数据处理、模型设计与结果分析；第5章介绍基于ResNet的图像分类实验，对比不同深度模型的性能表现；第6章对全文进行讨论与总结，分析研究局限性并展望未来研究方向。</w:t>
      </w:r>
    </w:p>
    <w:p w14:paraId="2512729E">
      <w:pPr>
        <w:pStyle w:val="2"/>
      </w:pPr>
      <w:bookmarkStart w:id="2" w:name="_Toc217035983"/>
      <w:r>
        <w:t>相关</w:t>
      </w:r>
      <w:r>
        <w:rPr>
          <w:rFonts w:hint="eastAsia"/>
        </w:rPr>
        <w:t>研究综述</w:t>
      </w:r>
      <w:bookmarkEnd w:id="2"/>
    </w:p>
    <w:p w14:paraId="5D067A65">
      <w:pPr>
        <w:pStyle w:val="3"/>
      </w:pPr>
      <w:r>
        <w:t>多模态大语言模型</w:t>
      </w:r>
    </w:p>
    <w:p w14:paraId="26F205AA">
      <w:pPr>
        <w:ind w:firstLine="420"/>
      </w:pPr>
      <w:r>
        <w:t>多模态大语言模型的发展代表了人工智能领域的重要突破，其核心在于实现不同模态信息的有效整合与协同理解。BERT作为预训练语言模型的代表性工作，通过双向Transformer编码器架构实现了对文本深层语义的捕获。其采用的掩码语言模型和下一句预测两大预训练任务，使得模型能够学习到丰富的上下文表示。BERT的成功在于其打破了传统单向语言模型的限制，通过同时关注上下文信息，为下游任务提供了高质量的语义特征。在金融文本分析领域，BERT及其变体被广泛应用于财报分析、新闻情感分类、舆情监测等任务，展现出强大的迁移学习能力。</w:t>
      </w:r>
    </w:p>
    <w:p w14:paraId="2DD01ED4">
      <w:pPr>
        <w:ind w:firstLine="420"/>
      </w:pPr>
      <w:r>
        <w:t>在视觉理解方面，卷积神经网络的发展经历了从浅层到深层的演变过程。ResNet残差网络的提出解决了深度网络训练中的梯度消失问题，通过引入跨层恒等映射使得网络深度可以显著增加而不会导致性能退化。残差学习的核心思想是让网络学习残差函数而非直接学习目标映射，这一简单而有效的设计使得ResNet在图像分类、目标检测等视觉任务中取得了突破性成果。金融领域中，ResNet被用于K线图形态识别、财报图表分析等场景，其多尺度特征提取能力对于捕捉视觉模态中的细粒度信息具有重要价值。</w:t>
      </w:r>
    </w:p>
    <w:p w14:paraId="4A60EF5E">
      <w:pPr>
        <w:ind w:firstLine="420"/>
      </w:pPr>
      <w:r>
        <w:t>跨模态对齐技术是实现多模态融合的关键环节。CLIP模型通过对比学习框架建立了文本与图像之间的语义对应关系，其采用的双编码器架构分别对文本和图像进行编码，并在共同的语义空间中对齐两种模态的表示。这种对齐方式使得模型能够理解跨模态的语义关联，为零样本学习和跨模态检索等任务提供了基础。在此基础上，BLIP-2通过引入Querying Transformer作为轻量级桥接模块，在冻结视觉编码器和语言模型的情况下实现了高效的模态对齐，显著降低了训练成本。LLaVA则通过线性投影层将视觉特征映射到语言模型的输入空间，实现了视觉指令跟随能力，展示了大语言模型在多模态理解方面的潜力。</w:t>
      </w:r>
    </w:p>
    <w:p w14:paraId="4482EEDB">
      <w:pPr>
        <w:pStyle w:val="3"/>
      </w:pPr>
      <w:r>
        <w:t>金融情感分析</w:t>
      </w:r>
    </w:p>
    <w:p w14:paraId="10855A36">
      <w:pPr>
        <w:pStyle w:val="33"/>
        <w:ind w:firstLine="420"/>
      </w:pPr>
      <w:r>
        <w:t>文本情感分析在金融领域已有长期的研究历史。早期研究主要基于词典方法，通过构建金融领域特定的情感词典来识别文本中的情感倾向。随着机器学习技术的发展，支持向量机、朴素贝叶斯等传统机器学习方法被引入到金融文本情感分析中，这些方法通常依赖人工设计的特征如词频统计、n-gram模型等。深度学习时代的到来使得端到端的情感分析成为可能，循环神经网络及其变体能够捕捉文本的序列特征，卷积神经网络则擅长提取局部模式。预训练语言模型的出现进一步推动了该领域的发展，FinBERT等面向金融领域的预训练模型通过在大规模金融文本上进行二次预训练，显著提升了金融情感分析的准确性。</w:t>
      </w:r>
    </w:p>
    <w:p w14:paraId="66E28EA0">
      <w:pPr>
        <w:pStyle w:val="33"/>
        <w:ind w:firstLine="420"/>
      </w:pPr>
      <w:r>
        <w:t>图像情感识别技术近年来在金融场景中逐渐受到关注。股票K线图、技术指标图表等视觉信息蕴含着投资者行为和市场情绪的重要线索。传统的技术分析方法依赖人工识别图表形态，而深度学习方法使得自动化识别成为可能。卷积神经网络能够从图表中自动学习判别性特征，无需人工定义形态规则。研究表明，通过训练深度网络识别K线图中的看涨、看跌等情绪模式，可以为量化交易策略提供有价值的信号。此外，社交媒体上的图片表情、财经新闻配图等视觉内容也逐渐成为情感分析的重要数据源。</w:t>
      </w:r>
    </w:p>
    <w:p w14:paraId="1C867521">
      <w:pPr>
        <w:pStyle w:val="33"/>
        <w:ind w:firstLine="420"/>
      </w:pPr>
      <w:r>
        <w:t>多模态情感融合策略的研究旨在充分利用不同模态信息的互补性。早期融合方法在特征层面直接拼接不同模态的特征向量，这种简单的融合方式未能充分考虑模态间的交互关系。后期融合方法则分别对各模态进行建模，在决策层面进行融合，但可能损失模态间的细粒度关联信息。注意力机制的引入为多模态融合提供了新的思路，通过学习不同模态特征的重要性权重，模型能够自适应地关注与任务最相关的模态信息。跨模态注意力进一步允许一个模态的表示去查询和关注另一个模态中的相关信息，实现了更深层次的模态交互。</w:t>
      </w:r>
    </w:p>
    <w:p w14:paraId="275C1309">
      <w:pPr>
        <w:pStyle w:val="33"/>
        <w:ind w:firstLine="420"/>
      </w:pPr>
      <w:r>
        <w:t>在金融应用方面，多模态情感分析已在多个场景中展现出应用价值。市场情绪监测系统通过融合新闻文本、社交媒体内容和市场图表信息，实时追踪市场情绪的变化趋势，为投资决策提供参考。投资者情绪指标的构建也从单一数据源扩展到多源异构数据的综合分析，提升了情绪指标的准确性和稳定性。在风险预警领域，多模态分析能够更全面地捕捉市场异常信号，及时识别潜在风险。然而，金融多模态研究仍面临数据获取困难、标注成本高昂、模型可解释性不足等挑战，这些问题制约了技术的进一步落地应用。</w:t>
      </w:r>
    </w:p>
    <w:p w14:paraId="4B39C599">
      <w:pPr>
        <w:pStyle w:val="3"/>
      </w:pPr>
      <w:r>
        <w:t>本文方法定位</w:t>
      </w:r>
    </w:p>
    <w:p w14:paraId="470CA502">
      <w:pPr>
        <w:pStyle w:val="33"/>
        <w:ind w:firstLine="420"/>
      </w:pPr>
      <w:r>
        <w:t>现有研究为多模态金融应用奠定了坚实基础，但在实际落地过程中仍存在理论与实践之间的鸿沟。一方面，大部分研究聚焦于模型性能的提升，对数据质量、标注成本、计算资源等实际约束考虑不足；另一方面，多模态模型往往结构复杂、训练成本高昂，在资源受限的场景下难以直接应用。基于这一现状，本文采取了分阶段研究策略：首先分别在文本和图像两个单模态上进行深入探索，验证经典模型在情感分析任务中的有效性；在此基础上，为多模态融合提供技术储备和实践经验。</w:t>
      </w:r>
    </w:p>
    <w:p w14:paraId="69226B1A">
      <w:pPr>
        <w:pStyle w:val="33"/>
        <w:ind w:firstLine="420"/>
      </w:pPr>
      <w:r>
        <w:t>本文的研究重点在于系统性地理解多模态技术在金融情感识别中的应用潜力与实施难点。通过在商品评论情感分类和图像分类等相对可控的任务上进行实验，本文旨在揭示数据特性、模型选择、训练策略等因素对性能的影响规律。相比于直接构建复杂的多模态融合系统，本文选择从基础模块出发，逐步积累经验，这种渐进式的研究路径更符合资源受限条件下的实际需求，也为后续研究者提供了可复现的技术方案和实践参考。</w:t>
      </w:r>
    </w:p>
    <w:p w14:paraId="611A64AF">
      <w:pPr>
        <w:pStyle w:val="2"/>
      </w:pPr>
      <w:bookmarkStart w:id="3" w:name="_Toc217035984"/>
      <w:r>
        <w:t>研究方法</w:t>
      </w:r>
      <w:bookmarkEnd w:id="3"/>
    </w:p>
    <w:p w14:paraId="46BED47A">
      <w:pPr>
        <w:pStyle w:val="3"/>
      </w:pPr>
      <w:r>
        <w:t>总体框架</w:t>
      </w:r>
    </w:p>
    <w:p w14:paraId="1707E19D">
      <w:pPr>
        <w:pStyle w:val="33"/>
        <w:ind w:firstLine="420"/>
      </w:pPr>
      <w:r>
        <w:t>本研究采用"理论梳理-单模态验证-多模态探索"的渐进式研究框架，旨在系统性地探索多模态技术在金融情感识别领域的应用路径。研究首先通过文献调研和理论分析，全面梳理多模态大语言模型的技术演进脉络与金融应用现状，明确当前研究的技术基础和应用瓶颈。在此基础上，选择文本情感分析和图像分类两个典型的单模态任务作为切入点，通过实际实验验证经典深度学习模型在情感识别场景中的性能表现。这种自下而上的研究策略不仅能够为多模态融合积累技术经验，也有助于深入理解不同模态数据的特性差异及其对模型设计的影响。</w:t>
      </w:r>
    </w:p>
    <w:p w14:paraId="2467121D">
      <w:pPr>
        <w:pStyle w:val="33"/>
        <w:ind w:firstLine="420"/>
      </w:pPr>
      <w:r>
        <w:t>研究的技术路线遵循"数据准备-模型构建-训练优化-性能评估"的标准化流程，但在每个环节都结合任务特点进行针对性设计。在数据准备阶段，重点关注数据质量控制、分布特征分析和预处理策略选择，确保训练数据能够真实反映目标任务的特性。模型构建阶段充分利用预训练模型的迁移学习能力，通过冻结预训练参数、添加任务特定层等方式实现高效的模型适配。训练优化环节采用参数高效微调方法，在有限计算资源下追求性能与效率的平衡。性能评估不仅关注准确率等常规指标，还从收敛特性、泛化能力、模型复杂度等多个维度进行综合分析。</w:t>
      </w:r>
    </w:p>
    <w:p w14:paraId="04CFB519">
      <w:pPr>
        <w:pStyle w:val="33"/>
        <w:ind w:firstLine="420"/>
      </w:pPr>
      <w:r>
        <w:t>本研究的实验设计遵循可复现性原则，所有实验均在公开可获取的数据集和平台上进行。文本情感分类实验选用包含十大类别商品的评论数据集，涵盖了不同商品类型下消费者情感表达的多样性。图像分类实验采用CIFAR-10标准数据集，其包含的十个互斥类别和中等规模的数据量适合进行深度网络性能对比。平台选择方面，Kaggle提供了便捷的GPU计算资源和数据管理环境，SwanLab则为实验过程的可视化监控和结果分析提供了有力支持。这些选择确保了研究结果的可验证性，也为后续研究者提供了清晰的技术路径参考。</w:t>
      </w:r>
    </w:p>
    <w:p w14:paraId="48F99E14">
      <w:pPr>
        <w:pStyle w:val="3"/>
      </w:pPr>
      <w:r>
        <w:rPr>
          <w:rFonts w:hint="eastAsia"/>
        </w:rPr>
        <w:t>单模态设计</w:t>
      </w:r>
    </w:p>
    <w:p w14:paraId="16D630BB">
      <w:pPr>
        <w:pStyle w:val="33"/>
        <w:ind w:firstLine="420"/>
      </w:pPr>
      <w:r>
        <w:t>文本模态实验旨在验证预训练语言模型在情感分析任务中的有效性。实验选择BERT作为基础特征提取器，结合双向LSTM网络构建混合架构。BERT负责将输入文本编码为包含丰富上下文信息的向量表示，而BiLSTM则进一步捕捉序列中的长期依赖关系。这种组合设计既能利用BERT强大的语义理解能力，又能通过LSTM增强对文本序列结构的建模。为控制训练成本，实验采用冻结BERT参数的策略，仅对BiLSTM层和分类层进行微调。训练过程使用AdamW优化器配合线性学习率衰减策略，批大小设置为16以平衡内存占用与训练稳定性。</w:t>
      </w:r>
    </w:p>
    <w:p w14:paraId="321842F6">
      <w:pPr>
        <w:pStyle w:val="33"/>
        <w:ind w:firstLine="420"/>
      </w:pPr>
      <w:r>
        <w:t>图像模态实验重点考察不同深度残差网络的性能权衡。实验系统对比了ResNet18、ResNet34、ResNet50、ResNet101和ResNet152五种架构，这些模型在参数规模和计算复杂度上呈现梯度分布，为分析深度与性能的关系提供了完整的对比基准。所有模型均采用在ImageNet上预训练的权重进行初始化，通过迁移学习的方式适配到目标分类任务。训练配置保持一致，使用Adam优化器、交叉熵损失函数，学习率设置为1×10</w:t>
      </w:r>
      <w:r>
        <w:rPr>
          <w:rFonts w:ascii="Cambria Math" w:hAnsi="Cambria Math" w:cs="Cambria Math"/>
        </w:rPr>
        <w:t>⁻⁴</w:t>
      </w:r>
      <w:r>
        <w:t>。实验特别关注不同深度模型在训练收敛速度、验证集性能、计算资源消耗等方面的差异，以揭示模型复杂度与实际应用价值之间的关系。</w:t>
      </w:r>
    </w:p>
    <w:p w14:paraId="7843C8E2">
      <w:pPr>
        <w:pStyle w:val="33"/>
        <w:ind w:firstLine="420"/>
      </w:pPr>
      <w:r>
        <w:t>实验评估采用多维度指标体系。准确率作为基础性能指标，反映模型的整体分类能力；精确率、召回率和F1分数则从类别平衡的角度评估模型性能，特别是对于存在类别不平衡的情况。训练损失和验证损失的变化曲线用于分析模型的收敛特性和过拟合风险。对于ResNet系列模型的对比实验，还特别关注不同训练步数下的性能演化趋势，以及最终模型在测试集上的稳定性表现。这种全方位的评估方式有助于深入理解模型的行为特征，为后续的模型选择和优化提供数据支撑。</w:t>
      </w:r>
    </w:p>
    <w:p w14:paraId="4B4277A8">
      <w:pPr>
        <w:pStyle w:val="3"/>
      </w:pPr>
      <w:r>
        <w:rPr>
          <w:rFonts w:hint="eastAsia"/>
        </w:rPr>
        <w:t>实验范围与资源约束</w:t>
      </w:r>
    </w:p>
    <w:p w14:paraId="6D950353">
      <w:pPr>
        <w:pStyle w:val="33"/>
        <w:ind w:firstLine="420"/>
      </w:pPr>
      <w:r>
        <w:t>基于现实资源的有限性和研究目标的聚焦性，本文明确了实验实现的范围边界。在已完成的工作中，单模态BERT语义模型在十大类别商品数据集上的情感识别实验完整实现了从数据预处理到模型训练和性能评估的全流程；单模态ResNet在CIFAR-10数据集上的图像分类实验则系统对比了不同深度模型的性能表现。这两个实验为理解文本和图像两种模态在情感识别任务中的特性积累了实践经验，也为后续的多模态融合工作奠定了技术基础。</w:t>
      </w:r>
    </w:p>
    <w:p w14:paraId="08AD83E9">
      <w:pPr>
        <w:pStyle w:val="33"/>
        <w:ind w:firstLine="420"/>
      </w:pPr>
      <w:r>
        <w:t>在多模态融合方面，原始研究提出的专家模型伪标签生成机制和跨模态深度融合架构代表了前沿的研究方向，但其实现需要大规模预训练模型、高性能计算资源以及大量标注数据的支持。考虑到这些客观限制，本文在理论层面对这些创新方法进行了深入探讨，分析了其技术原理、实现难点和潜在价值，但未进行完整的实验验证。这一选择并非研究能力的局限，而是在资源约束下对研究重点的合理聚焦。通过将有限的资源集中用于单模态实验的精细化实施，本研究确保了实验结果的可靠性和分析的深入性。</w:t>
      </w:r>
    </w:p>
    <w:p w14:paraId="155AE89D">
      <w:pPr>
        <w:pStyle w:val="33"/>
        <w:ind w:firstLine="420"/>
      </w:pPr>
      <w:r>
        <w:t>资源约束的明确界定对于理解研究贡献至关重要。计算资源方面，实验主要依托Kaggle平台提供的免费GPU资源，单次会话的计算时间和内存容量受到平台政策限制。数据资源方面，选用公开数据集虽然保证了研究的可复现性，但在数据规模和领域特异性上与金融实际应用场景存在差距。人力资源方面，作为课程项目研究，时间和人员投入相对有限，这决定了研究必须在广度与深度之间做出权衡。这些约束条件的坦诚说明不仅体现了研究的严谨性，也为后续研究者提供了明确的改进方向和资源需求参考。</w:t>
      </w:r>
    </w:p>
    <w:p w14:paraId="17A1D2BD">
      <w:pPr>
        <w:pStyle w:val="2"/>
      </w:pPr>
      <w:bookmarkStart w:id="4" w:name="_Toc217035985"/>
      <w:r>
        <w:t>基于BERT的文本情感分类实验</w:t>
      </w:r>
      <w:bookmarkEnd w:id="4"/>
    </w:p>
    <w:p w14:paraId="1F9C323F">
      <w:pPr>
        <w:pStyle w:val="3"/>
      </w:pPr>
      <w:r>
        <w:t>实验设计</w:t>
      </w:r>
    </w:p>
    <w:p w14:paraId="5242105A">
      <w:pPr>
        <w:pStyle w:val="4"/>
      </w:pPr>
      <w:r>
        <w:t>数据集描述与预处理</w:t>
      </w:r>
    </w:p>
    <w:p w14:paraId="55C2D1FF">
      <w:pPr>
        <w:pStyle w:val="33"/>
        <w:ind w:firstLine="420"/>
      </w:pPr>
      <w:r>
        <w:t>本实验的任务类型为对情感二分类类型纯文本数据进行情感预测分析，数据集的情感分类分为积极和消极两个类别，消极编码为"0"，积极编码为"1"。实验数据来源于在线获取的商品评论数据集，涵盖平板、手机、水果、洗发水、热水器、酒店、衣服、书籍、蒙牛、计算机等十大商品类别，原始数据规模为62,774条评论。</w:t>
      </w:r>
    </w:p>
    <w:p w14:paraId="18FB3ED0">
      <w:pPr>
        <w:pStyle w:val="33"/>
        <w:ind w:firstLine="420"/>
      </w:pPr>
      <w:r>
        <w:t>数据预处理阶段进行了系统的质量控制。通过编写自动化清洗程序，对原始数据进行了初步的去重和去噪操作。统计发现，数据集中存在数据缺失的记录1条，完全重复的数据17条，文本字数少于3的无效记录16条，总计删除34条低质量数据，使数据集规模从62,774条降至62,740条。进一步的数据清洗针对异常文本长度进行了过滤，移除了文本长度小于5且长度超过1,000的极端样本共22条，最终获得49,546条训练样本和12,378条测试样本。这种严格的数据质量控制确保了后续模型训练的可靠性。</w:t>
      </w:r>
    </w:p>
    <w:p w14:paraId="3C80ACC4">
      <w:pPr>
        <w:pStyle w:val="4"/>
      </w:pPr>
      <w:r>
        <w:t>数据分布特征分析</w:t>
      </w:r>
    </w:p>
    <w:p w14:paraId="13DDB26A">
      <w:pPr>
        <w:pStyle w:val="33"/>
        <w:ind w:firstLine="420"/>
      </w:pPr>
      <w:r>
        <w:t>为深入理解数据集的统计特性，本研究对不同商品类别的评论文本长度分布进行了可视化分析。通过核密度估计和直方图展示，发现不同商品类别呈现出明显的分布差异特征。</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41"/>
        <w:gridCol w:w="5341"/>
      </w:tblGrid>
      <w:tr w14:paraId="4C694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41" w:type="dxa"/>
          </w:tcPr>
          <w:p w14:paraId="02796D46">
            <w:pPr>
              <w:pStyle w:val="33"/>
              <w:jc w:val="center"/>
            </w:pPr>
            <w:r>
              <w:rPr>
                <w:rFonts w:hint="eastAsia"/>
              </w:rPr>
              <w:drawing>
                <wp:inline distT="0" distB="0" distL="0" distR="0">
                  <wp:extent cx="3190875" cy="2127250"/>
                  <wp:effectExtent l="0" t="0" r="9525" b="6350"/>
                  <wp:docPr id="1325413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13814"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12845" cy="2141795"/>
                          </a:xfrm>
                          <a:prstGeom prst="rect">
                            <a:avLst/>
                          </a:prstGeom>
                        </pic:spPr>
                      </pic:pic>
                    </a:graphicData>
                  </a:graphic>
                </wp:inline>
              </w:drawing>
            </w:r>
          </w:p>
        </w:tc>
        <w:tc>
          <w:tcPr>
            <w:tcW w:w="5341" w:type="dxa"/>
          </w:tcPr>
          <w:p w14:paraId="0761C257">
            <w:pPr>
              <w:pStyle w:val="33"/>
              <w:keepNext/>
              <w:jc w:val="center"/>
            </w:pPr>
            <w:r>
              <w:rPr>
                <w:rFonts w:hint="eastAsia"/>
              </w:rPr>
              <w:drawing>
                <wp:inline distT="0" distB="0" distL="0" distR="0">
                  <wp:extent cx="3032760" cy="2021840"/>
                  <wp:effectExtent l="0" t="0" r="0" b="0"/>
                  <wp:docPr id="20276804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80460" name="图片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53167" cy="2035347"/>
                          </a:xfrm>
                          <a:prstGeom prst="rect">
                            <a:avLst/>
                          </a:prstGeom>
                        </pic:spPr>
                      </pic:pic>
                    </a:graphicData>
                  </a:graphic>
                </wp:inline>
              </w:drawing>
            </w:r>
          </w:p>
        </w:tc>
      </w:tr>
    </w:tbl>
    <w:p w14:paraId="3B77ED63">
      <w:pPr>
        <w:pStyle w:val="6"/>
        <w:jc w:val="center"/>
      </w:pPr>
      <w:r>
        <w:t xml:space="preserve">图 </w:t>
      </w:r>
      <w:r>
        <w:fldChar w:fldCharType="begin"/>
      </w:r>
      <w:r>
        <w:instrText xml:space="preserve"> STYLEREF 1 \s </w:instrText>
      </w:r>
      <w:r>
        <w:fldChar w:fldCharType="separate"/>
      </w:r>
      <w:r>
        <w:rPr>
          <w:rFonts w:hint="eastAsia"/>
        </w:rPr>
        <w:t>4</w:t>
      </w:r>
      <w:r>
        <w:rPr>
          <w:rFonts w:hint="eastAsia"/>
        </w:rPr>
        <w:fldChar w:fldCharType="end"/>
      </w:r>
      <w:r>
        <w:noBreakHyphen/>
      </w:r>
      <w:r>
        <w:fldChar w:fldCharType="begin"/>
      </w:r>
      <w:r>
        <w:instrText xml:space="preserve"> SEQ 图 \* ARABIC \s 1 </w:instrText>
      </w:r>
      <w:r>
        <w:fldChar w:fldCharType="separate"/>
      </w:r>
      <w:r>
        <w:rPr>
          <w:rFonts w:hint="eastAsia"/>
        </w:rPr>
        <w:t>1</w:t>
      </w:r>
      <w:r>
        <w:fldChar w:fldCharType="end"/>
      </w:r>
      <w:r>
        <w:rPr>
          <w:rFonts w:hint="eastAsia"/>
        </w:rPr>
        <w:t>图一至图十</w:t>
      </w:r>
      <w:r>
        <w:t xml:space="preserve"> - 十种商品类别的文本长度分布图</w:t>
      </w:r>
    </w:p>
    <w:p w14:paraId="00787E6E">
      <w:r>
        <w:t>分析结果显示，平板、水果、洗发水、衣服四个类别的文本长度分布特征相似，评论主要集中在11至40个字之间，超过40字后数量快速下滑。这些商品属于消耗品或快速决策类商品，消费者倾向于给出简短评价。手机、蒙牛、酒店三个类别的评论数量相对更多，文本长度集中在11至100个字左右，且随字数增加呈缓慢下降趋势，反映了消费者对这些商品有更多的使用体验需要表达。书籍类别表现出独特的"U"型分布：深度阅读者会撰写详细的长篇评论，而放弃阅读的读者则给出简短差评，这种两极化现象与书籍商品的特殊性密切相关。</w:t>
      </w:r>
    </w:p>
    <w:p w14:paraId="630A5578">
      <w:pPr>
        <w:ind w:firstLine="420"/>
      </w:pPr>
      <w:r>
        <w:t>数据集划分采用分层抽样策略，确保训练集和测试集在类别和标签分布上保持一致。训练集抽取49,570条数据，各类别中积极与消极标签的比例均为1:1，符合平衡分类任务的设计要求。测试集由剩余12,392条样本组成，同样维持了类别和标签的平衡分布。为进一步提升模型训练效果，从训练集中采用分层K折交叉验证方法划分出验证集，最终训练集和验证集按照4:1的比例划分，且内部标签比例均保持1:1的平衡状态。</w:t>
      </w:r>
    </w:p>
    <w:p w14:paraId="46BDE4A1">
      <w:pPr>
        <w:pStyle w:val="6"/>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w:t>
      </w:r>
      <w:r>
        <w:fldChar w:fldCharType="end"/>
      </w:r>
      <w:r>
        <w:rPr>
          <w:rFonts w:hint="eastAsia"/>
        </w:rPr>
        <w:t>训练集数据分布统计表</w:t>
      </w:r>
    </w:p>
    <w:tbl>
      <w:tblPr>
        <w:tblStyle w:val="16"/>
        <w:tblW w:w="0" w:type="auto"/>
        <w:jc w:val="center"/>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Layout w:type="autofit"/>
        <w:tblCellMar>
          <w:top w:w="15" w:type="dxa"/>
          <w:left w:w="15" w:type="dxa"/>
          <w:bottom w:w="15" w:type="dxa"/>
          <w:right w:w="15" w:type="dxa"/>
        </w:tblCellMar>
      </w:tblPr>
      <w:tblGrid>
        <w:gridCol w:w="960"/>
        <w:gridCol w:w="1200"/>
        <w:gridCol w:w="1560"/>
        <w:gridCol w:w="1560"/>
      </w:tblGrid>
      <w:tr w14:paraId="2718204A">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4CC84FF">
            <w:pPr>
              <w:tabs>
                <w:tab w:val="left" w:pos="720"/>
              </w:tabs>
              <w:jc w:val="center"/>
              <w:rPr>
                <w:rFonts w:ascii="宋体" w:hAnsi="宋体"/>
              </w:rPr>
            </w:pPr>
            <w:r>
              <w:rPr>
                <w:rFonts w:ascii="宋体" w:hAnsi="宋体"/>
              </w:rPr>
              <w:t>类别</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516EC34">
            <w:pPr>
              <w:tabs>
                <w:tab w:val="left" w:pos="720"/>
              </w:tabs>
              <w:jc w:val="center"/>
              <w:rPr>
                <w:rFonts w:ascii="宋体" w:hAnsi="宋体"/>
              </w:rPr>
            </w:pPr>
            <w:r>
              <w:rPr>
                <w:rFonts w:ascii="宋体" w:hAnsi="宋体"/>
              </w:rPr>
              <w:t>总计数量</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5B7037E4">
            <w:pPr>
              <w:tabs>
                <w:tab w:val="left" w:pos="720"/>
              </w:tabs>
              <w:jc w:val="center"/>
              <w:rPr>
                <w:rFonts w:ascii="宋体" w:hAnsi="宋体"/>
              </w:rPr>
            </w:pPr>
            <w:r>
              <w:rPr>
                <w:rFonts w:ascii="宋体" w:hAnsi="宋体"/>
              </w:rPr>
              <w:t>标签 0 数量</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B1D1E16">
            <w:pPr>
              <w:tabs>
                <w:tab w:val="left" w:pos="720"/>
              </w:tabs>
              <w:jc w:val="center"/>
              <w:rPr>
                <w:rFonts w:ascii="宋体" w:hAnsi="宋体"/>
              </w:rPr>
            </w:pPr>
            <w:r>
              <w:rPr>
                <w:rFonts w:ascii="宋体" w:hAnsi="宋体"/>
              </w:rPr>
              <w:t>标签 1 数量</w:t>
            </w:r>
          </w:p>
        </w:tc>
      </w:tr>
      <w:tr w14:paraId="0C22AEA8">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639B78BE">
            <w:pPr>
              <w:tabs>
                <w:tab w:val="left" w:pos="720"/>
              </w:tabs>
              <w:jc w:val="center"/>
              <w:rPr>
                <w:rFonts w:ascii="宋体" w:hAnsi="宋体"/>
              </w:rPr>
            </w:pPr>
            <w:r>
              <w:rPr>
                <w:rFonts w:ascii="宋体" w:hAnsi="宋体"/>
              </w:rPr>
              <w:t>书籍</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5E740443">
            <w:pPr>
              <w:tabs>
                <w:tab w:val="left" w:pos="720"/>
              </w:tabs>
              <w:ind w:firstLine="420"/>
              <w:jc w:val="center"/>
              <w:rPr>
                <w:rFonts w:ascii="宋体" w:hAnsi="宋体"/>
              </w:rPr>
            </w:pPr>
            <w:r>
              <w:rPr>
                <w:rFonts w:ascii="宋体" w:hAnsi="宋体"/>
              </w:rPr>
              <w:t>2802</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23D4661E">
            <w:pPr>
              <w:tabs>
                <w:tab w:val="left" w:pos="720"/>
              </w:tabs>
              <w:ind w:firstLine="420"/>
              <w:jc w:val="center"/>
              <w:rPr>
                <w:rFonts w:ascii="宋体" w:hAnsi="宋体"/>
              </w:rPr>
            </w:pPr>
            <w:r>
              <w:rPr>
                <w:rFonts w:ascii="宋体" w:hAnsi="宋体"/>
              </w:rPr>
              <w:t>1401</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265E5654">
            <w:pPr>
              <w:tabs>
                <w:tab w:val="left" w:pos="720"/>
              </w:tabs>
              <w:ind w:firstLine="420"/>
              <w:jc w:val="center"/>
              <w:rPr>
                <w:rFonts w:ascii="宋体" w:hAnsi="宋体"/>
              </w:rPr>
            </w:pPr>
            <w:r>
              <w:rPr>
                <w:rFonts w:ascii="宋体" w:hAnsi="宋体"/>
              </w:rPr>
              <w:t>1401</w:t>
            </w:r>
          </w:p>
        </w:tc>
      </w:tr>
      <w:tr w14:paraId="4FF53EE0">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29932A37">
            <w:pPr>
              <w:tabs>
                <w:tab w:val="left" w:pos="720"/>
              </w:tabs>
              <w:jc w:val="center"/>
              <w:rPr>
                <w:rFonts w:ascii="宋体" w:hAnsi="宋体"/>
              </w:rPr>
            </w:pPr>
            <w:r>
              <w:rPr>
                <w:rFonts w:ascii="宋体" w:hAnsi="宋体"/>
              </w:rPr>
              <w:t>平板</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DC748E4">
            <w:pPr>
              <w:tabs>
                <w:tab w:val="left" w:pos="720"/>
              </w:tabs>
              <w:ind w:firstLine="420"/>
              <w:jc w:val="center"/>
              <w:rPr>
                <w:rFonts w:ascii="宋体" w:hAnsi="宋体"/>
              </w:rPr>
            </w:pPr>
            <w:r>
              <w:rPr>
                <w:rFonts w:ascii="宋体" w:hAnsi="宋体"/>
              </w:rPr>
              <w:t>8000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3143FC31">
            <w:pPr>
              <w:tabs>
                <w:tab w:val="left" w:pos="720"/>
              </w:tabs>
              <w:ind w:firstLine="420"/>
              <w:jc w:val="center"/>
              <w:rPr>
                <w:rFonts w:ascii="宋体" w:hAnsi="宋体"/>
              </w:rPr>
            </w:pPr>
            <w:r>
              <w:rPr>
                <w:rFonts w:ascii="宋体" w:hAnsi="宋体"/>
              </w:rPr>
              <w:t>4000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82EA178">
            <w:pPr>
              <w:tabs>
                <w:tab w:val="left" w:pos="720"/>
              </w:tabs>
              <w:ind w:firstLine="420"/>
              <w:jc w:val="center"/>
              <w:rPr>
                <w:rFonts w:ascii="宋体" w:hAnsi="宋体"/>
              </w:rPr>
            </w:pPr>
            <w:r>
              <w:rPr>
                <w:rFonts w:ascii="宋体" w:hAnsi="宋体"/>
              </w:rPr>
              <w:t>4000</w:t>
            </w:r>
          </w:p>
        </w:tc>
      </w:tr>
      <w:tr w14:paraId="7235730E">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E79FFC1">
            <w:pPr>
              <w:tabs>
                <w:tab w:val="left" w:pos="720"/>
              </w:tabs>
              <w:jc w:val="center"/>
              <w:rPr>
                <w:rFonts w:ascii="宋体" w:hAnsi="宋体"/>
              </w:rPr>
            </w:pPr>
            <w:r>
              <w:rPr>
                <w:rFonts w:ascii="宋体" w:hAnsi="宋体"/>
              </w:rPr>
              <w:t>手机</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955438F">
            <w:pPr>
              <w:tabs>
                <w:tab w:val="left" w:pos="720"/>
              </w:tabs>
              <w:ind w:firstLine="420"/>
              <w:jc w:val="center"/>
              <w:rPr>
                <w:rFonts w:ascii="宋体" w:hAnsi="宋体"/>
              </w:rPr>
            </w:pPr>
            <w:r>
              <w:rPr>
                <w:rFonts w:ascii="宋体" w:hAnsi="宋体"/>
              </w:rPr>
              <w:t>1850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570DCAD8">
            <w:pPr>
              <w:tabs>
                <w:tab w:val="left" w:pos="720"/>
              </w:tabs>
              <w:ind w:firstLine="420"/>
              <w:jc w:val="center"/>
              <w:rPr>
                <w:rFonts w:ascii="宋体" w:hAnsi="宋体"/>
              </w:rPr>
            </w:pPr>
            <w:r>
              <w:rPr>
                <w:rFonts w:ascii="宋体" w:hAnsi="宋体"/>
              </w:rPr>
              <w:t>925</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472BB116">
            <w:pPr>
              <w:tabs>
                <w:tab w:val="left" w:pos="720"/>
              </w:tabs>
              <w:ind w:firstLine="420"/>
              <w:jc w:val="center"/>
              <w:rPr>
                <w:rFonts w:ascii="宋体" w:hAnsi="宋体"/>
              </w:rPr>
            </w:pPr>
            <w:r>
              <w:rPr>
                <w:rFonts w:ascii="宋体" w:hAnsi="宋体"/>
              </w:rPr>
              <w:t>925</w:t>
            </w:r>
          </w:p>
        </w:tc>
      </w:tr>
      <w:tr w14:paraId="5770C931">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78BC6AB">
            <w:pPr>
              <w:tabs>
                <w:tab w:val="left" w:pos="720"/>
              </w:tabs>
              <w:jc w:val="center"/>
              <w:rPr>
                <w:rFonts w:ascii="宋体" w:hAnsi="宋体"/>
              </w:rPr>
            </w:pPr>
            <w:r>
              <w:rPr>
                <w:rFonts w:ascii="宋体" w:hAnsi="宋体"/>
              </w:rPr>
              <w:t>水果</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85134DD">
            <w:pPr>
              <w:tabs>
                <w:tab w:val="left" w:pos="720"/>
              </w:tabs>
              <w:ind w:firstLine="420"/>
              <w:jc w:val="center"/>
              <w:rPr>
                <w:rFonts w:ascii="宋体" w:hAnsi="宋体"/>
              </w:rPr>
            </w:pPr>
            <w:r>
              <w:rPr>
                <w:rFonts w:ascii="宋体" w:hAnsi="宋体"/>
              </w:rPr>
              <w:t>7998</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E65B23C">
            <w:pPr>
              <w:tabs>
                <w:tab w:val="left" w:pos="720"/>
              </w:tabs>
              <w:ind w:firstLine="420"/>
              <w:jc w:val="center"/>
              <w:rPr>
                <w:rFonts w:ascii="宋体" w:hAnsi="宋体"/>
              </w:rPr>
            </w:pPr>
            <w:r>
              <w:rPr>
                <w:rFonts w:ascii="宋体" w:hAnsi="宋体"/>
              </w:rPr>
              <w:t>3999</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E73B198">
            <w:pPr>
              <w:tabs>
                <w:tab w:val="left" w:pos="720"/>
              </w:tabs>
              <w:ind w:firstLine="420"/>
              <w:jc w:val="center"/>
              <w:rPr>
                <w:rFonts w:ascii="宋体" w:hAnsi="宋体"/>
              </w:rPr>
            </w:pPr>
            <w:r>
              <w:rPr>
                <w:rFonts w:ascii="宋体" w:hAnsi="宋体"/>
              </w:rPr>
              <w:t>3999</w:t>
            </w:r>
          </w:p>
        </w:tc>
      </w:tr>
      <w:tr w14:paraId="3864C6EC">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96"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CE346C0">
            <w:pPr>
              <w:tabs>
                <w:tab w:val="left" w:pos="720"/>
              </w:tabs>
              <w:jc w:val="center"/>
              <w:rPr>
                <w:rFonts w:ascii="宋体" w:hAnsi="宋体"/>
              </w:rPr>
            </w:pPr>
            <w:r>
              <w:rPr>
                <w:rFonts w:ascii="宋体" w:hAnsi="宋体"/>
              </w:rPr>
              <w:t>洗发水</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561E0772">
            <w:pPr>
              <w:tabs>
                <w:tab w:val="left" w:pos="720"/>
              </w:tabs>
              <w:ind w:firstLine="420"/>
              <w:jc w:val="center"/>
              <w:rPr>
                <w:rFonts w:ascii="宋体" w:hAnsi="宋体"/>
              </w:rPr>
            </w:pPr>
            <w:r>
              <w:rPr>
                <w:rFonts w:ascii="宋体" w:hAnsi="宋体"/>
              </w:rPr>
              <w:t>8000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59107621">
            <w:pPr>
              <w:tabs>
                <w:tab w:val="left" w:pos="720"/>
              </w:tabs>
              <w:ind w:firstLine="420"/>
              <w:jc w:val="center"/>
              <w:rPr>
                <w:rFonts w:ascii="宋体" w:hAnsi="宋体"/>
              </w:rPr>
            </w:pPr>
            <w:r>
              <w:rPr>
                <w:rFonts w:ascii="宋体" w:hAnsi="宋体"/>
              </w:rPr>
              <w:t>4000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6790C865">
            <w:pPr>
              <w:tabs>
                <w:tab w:val="left" w:pos="720"/>
              </w:tabs>
              <w:ind w:firstLine="420"/>
              <w:jc w:val="center"/>
              <w:rPr>
                <w:rFonts w:ascii="宋体" w:hAnsi="宋体"/>
              </w:rPr>
            </w:pPr>
            <w:r>
              <w:rPr>
                <w:rFonts w:ascii="宋体" w:hAnsi="宋体"/>
              </w:rPr>
              <w:t>4000</w:t>
            </w:r>
          </w:p>
        </w:tc>
      </w:tr>
      <w:tr w14:paraId="27261D1E">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D302BB9">
            <w:pPr>
              <w:tabs>
                <w:tab w:val="left" w:pos="720"/>
              </w:tabs>
              <w:jc w:val="center"/>
              <w:rPr>
                <w:rFonts w:ascii="宋体" w:hAnsi="宋体"/>
              </w:rPr>
            </w:pPr>
            <w:r>
              <w:rPr>
                <w:rFonts w:ascii="宋体" w:hAnsi="宋体"/>
              </w:rPr>
              <w:t>热水器</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C09FF79">
            <w:pPr>
              <w:tabs>
                <w:tab w:val="left" w:pos="720"/>
              </w:tabs>
              <w:ind w:firstLine="420"/>
              <w:jc w:val="center"/>
              <w:rPr>
                <w:rFonts w:ascii="宋体" w:hAnsi="宋体"/>
              </w:rPr>
            </w:pPr>
            <w:r>
              <w:rPr>
                <w:rFonts w:ascii="宋体" w:hAnsi="宋体"/>
              </w:rPr>
              <w:t>160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69A7F53">
            <w:pPr>
              <w:tabs>
                <w:tab w:val="left" w:pos="720"/>
              </w:tabs>
              <w:ind w:firstLine="420"/>
              <w:jc w:val="center"/>
              <w:rPr>
                <w:rFonts w:ascii="宋体" w:hAnsi="宋体"/>
              </w:rPr>
            </w:pPr>
            <w:r>
              <w:rPr>
                <w:rFonts w:ascii="宋体" w:hAnsi="宋体"/>
              </w:rPr>
              <w:t>80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2013801A">
            <w:pPr>
              <w:tabs>
                <w:tab w:val="left" w:pos="720"/>
              </w:tabs>
              <w:ind w:firstLine="420"/>
              <w:jc w:val="center"/>
              <w:rPr>
                <w:rFonts w:ascii="宋体" w:hAnsi="宋体"/>
              </w:rPr>
            </w:pPr>
            <w:r>
              <w:rPr>
                <w:rFonts w:ascii="宋体" w:hAnsi="宋体"/>
              </w:rPr>
              <w:t>80</w:t>
            </w:r>
          </w:p>
        </w:tc>
      </w:tr>
      <w:tr w14:paraId="36FB6424">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C37E029">
            <w:pPr>
              <w:tabs>
                <w:tab w:val="left" w:pos="720"/>
              </w:tabs>
              <w:jc w:val="center"/>
              <w:rPr>
                <w:rFonts w:ascii="宋体" w:hAnsi="宋体"/>
              </w:rPr>
            </w:pPr>
            <w:r>
              <w:rPr>
                <w:rFonts w:ascii="宋体" w:hAnsi="宋体"/>
              </w:rPr>
              <w:t>蒙牛</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69F840D">
            <w:pPr>
              <w:tabs>
                <w:tab w:val="left" w:pos="720"/>
              </w:tabs>
              <w:ind w:firstLine="420"/>
              <w:jc w:val="center"/>
              <w:rPr>
                <w:rFonts w:ascii="宋体" w:hAnsi="宋体"/>
              </w:rPr>
            </w:pPr>
            <w:r>
              <w:rPr>
                <w:rFonts w:ascii="宋体" w:hAnsi="宋体"/>
              </w:rPr>
              <w:t>1588</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3099A3A4">
            <w:pPr>
              <w:tabs>
                <w:tab w:val="left" w:pos="720"/>
              </w:tabs>
              <w:ind w:firstLine="420"/>
              <w:jc w:val="center"/>
              <w:rPr>
                <w:rFonts w:ascii="宋体" w:hAnsi="宋体"/>
              </w:rPr>
            </w:pPr>
            <w:r>
              <w:rPr>
                <w:rFonts w:ascii="宋体" w:hAnsi="宋体"/>
              </w:rPr>
              <w:t>794</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12797E8">
            <w:pPr>
              <w:tabs>
                <w:tab w:val="left" w:pos="720"/>
              </w:tabs>
              <w:ind w:firstLine="420"/>
              <w:jc w:val="center"/>
              <w:rPr>
                <w:rFonts w:ascii="宋体" w:hAnsi="宋体"/>
              </w:rPr>
            </w:pPr>
            <w:r>
              <w:rPr>
                <w:rFonts w:ascii="宋体" w:hAnsi="宋体"/>
              </w:rPr>
              <w:t>794</w:t>
            </w:r>
          </w:p>
        </w:tc>
      </w:tr>
      <w:tr w14:paraId="7356ACE6">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653D9025">
            <w:pPr>
              <w:tabs>
                <w:tab w:val="left" w:pos="720"/>
              </w:tabs>
              <w:jc w:val="center"/>
              <w:rPr>
                <w:rFonts w:ascii="宋体" w:hAnsi="宋体"/>
              </w:rPr>
            </w:pPr>
            <w:r>
              <w:rPr>
                <w:rFonts w:ascii="宋体" w:hAnsi="宋体"/>
              </w:rPr>
              <w:t>衣服</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5CFB7D5">
            <w:pPr>
              <w:tabs>
                <w:tab w:val="left" w:pos="720"/>
              </w:tabs>
              <w:ind w:firstLine="420"/>
              <w:jc w:val="center"/>
              <w:rPr>
                <w:rFonts w:ascii="宋体" w:hAnsi="宋体"/>
              </w:rPr>
            </w:pPr>
            <w:r>
              <w:rPr>
                <w:rFonts w:ascii="宋体" w:hAnsi="宋体"/>
              </w:rPr>
              <w:t>7992</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CCC186F">
            <w:pPr>
              <w:tabs>
                <w:tab w:val="left" w:pos="720"/>
              </w:tabs>
              <w:ind w:firstLine="420"/>
              <w:jc w:val="center"/>
              <w:rPr>
                <w:rFonts w:ascii="宋体" w:hAnsi="宋体"/>
              </w:rPr>
            </w:pPr>
            <w:r>
              <w:rPr>
                <w:rFonts w:ascii="宋体" w:hAnsi="宋体"/>
              </w:rPr>
              <w:t>3996</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CD21AB1">
            <w:pPr>
              <w:tabs>
                <w:tab w:val="left" w:pos="720"/>
              </w:tabs>
              <w:ind w:firstLine="420"/>
              <w:jc w:val="center"/>
              <w:rPr>
                <w:rFonts w:ascii="宋体" w:hAnsi="宋体"/>
              </w:rPr>
            </w:pPr>
            <w:r>
              <w:rPr>
                <w:rFonts w:ascii="宋体" w:hAnsi="宋体"/>
              </w:rPr>
              <w:t>3996</w:t>
            </w:r>
          </w:p>
        </w:tc>
      </w:tr>
      <w:tr w14:paraId="544B5C09">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5F33E106">
            <w:pPr>
              <w:tabs>
                <w:tab w:val="left" w:pos="720"/>
              </w:tabs>
              <w:jc w:val="center"/>
              <w:rPr>
                <w:rFonts w:ascii="宋体" w:hAnsi="宋体"/>
              </w:rPr>
            </w:pPr>
            <w:r>
              <w:rPr>
                <w:rFonts w:ascii="宋体" w:hAnsi="宋体"/>
              </w:rPr>
              <w:t>计算机</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644C8B8E">
            <w:pPr>
              <w:tabs>
                <w:tab w:val="left" w:pos="720"/>
              </w:tabs>
              <w:ind w:firstLine="420"/>
              <w:jc w:val="center"/>
              <w:rPr>
                <w:rFonts w:ascii="宋体" w:hAnsi="宋体"/>
              </w:rPr>
            </w:pPr>
            <w:r>
              <w:rPr>
                <w:rFonts w:ascii="宋体" w:hAnsi="宋体"/>
              </w:rPr>
              <w:t>3180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6792A166">
            <w:pPr>
              <w:tabs>
                <w:tab w:val="left" w:pos="720"/>
              </w:tabs>
              <w:ind w:firstLine="420"/>
              <w:jc w:val="center"/>
              <w:rPr>
                <w:rFonts w:ascii="宋体" w:hAnsi="宋体"/>
              </w:rPr>
            </w:pPr>
            <w:r>
              <w:rPr>
                <w:rFonts w:ascii="宋体" w:hAnsi="宋体"/>
              </w:rPr>
              <w:t>1590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F46A596">
            <w:pPr>
              <w:tabs>
                <w:tab w:val="left" w:pos="720"/>
              </w:tabs>
              <w:ind w:firstLine="420"/>
              <w:jc w:val="center"/>
              <w:rPr>
                <w:rFonts w:ascii="宋体" w:hAnsi="宋体"/>
              </w:rPr>
            </w:pPr>
            <w:r>
              <w:rPr>
                <w:rFonts w:ascii="宋体" w:hAnsi="宋体"/>
              </w:rPr>
              <w:t>1590</w:t>
            </w:r>
          </w:p>
        </w:tc>
      </w:tr>
      <w:tr w14:paraId="21094FF5">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6A169883">
            <w:pPr>
              <w:tabs>
                <w:tab w:val="left" w:pos="720"/>
              </w:tabs>
              <w:jc w:val="center"/>
              <w:rPr>
                <w:rFonts w:ascii="宋体" w:hAnsi="宋体"/>
              </w:rPr>
            </w:pPr>
            <w:r>
              <w:rPr>
                <w:rFonts w:ascii="宋体" w:hAnsi="宋体"/>
              </w:rPr>
              <w:t>酒店</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FE5D239">
            <w:pPr>
              <w:tabs>
                <w:tab w:val="left" w:pos="720"/>
              </w:tabs>
              <w:ind w:firstLine="420"/>
              <w:jc w:val="center"/>
              <w:rPr>
                <w:rFonts w:ascii="宋体" w:hAnsi="宋体"/>
              </w:rPr>
            </w:pPr>
            <w:r>
              <w:rPr>
                <w:rFonts w:ascii="宋体" w:hAnsi="宋体"/>
              </w:rPr>
              <w:t>8000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2EBEBF7B">
            <w:pPr>
              <w:tabs>
                <w:tab w:val="left" w:pos="720"/>
              </w:tabs>
              <w:ind w:firstLine="420"/>
              <w:jc w:val="center"/>
              <w:rPr>
                <w:rFonts w:ascii="宋体" w:hAnsi="宋体"/>
              </w:rPr>
            </w:pPr>
            <w:r>
              <w:rPr>
                <w:rFonts w:ascii="宋体" w:hAnsi="宋体"/>
              </w:rPr>
              <w:t>4000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66C4A560">
            <w:pPr>
              <w:tabs>
                <w:tab w:val="left" w:pos="720"/>
              </w:tabs>
              <w:ind w:firstLine="420"/>
              <w:jc w:val="center"/>
              <w:rPr>
                <w:rFonts w:ascii="宋体" w:hAnsi="宋体"/>
              </w:rPr>
            </w:pPr>
            <w:r>
              <w:rPr>
                <w:rFonts w:ascii="宋体" w:hAnsi="宋体"/>
              </w:rPr>
              <w:t>4000</w:t>
            </w:r>
          </w:p>
        </w:tc>
      </w:tr>
    </w:tbl>
    <w:p w14:paraId="76A1F00C">
      <w:pPr>
        <w:pStyle w:val="6"/>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2</w:t>
      </w:r>
      <w:r>
        <w:fldChar w:fldCharType="end"/>
      </w:r>
      <w:r>
        <w:rPr>
          <w:rFonts w:hint="eastAsia"/>
        </w:rPr>
        <w:t>测试集数据分布统计表</w:t>
      </w:r>
    </w:p>
    <w:tbl>
      <w:tblPr>
        <w:tblStyle w:val="16"/>
        <w:tblW w:w="0" w:type="auto"/>
        <w:jc w:val="center"/>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Layout w:type="autofit"/>
        <w:tblCellMar>
          <w:top w:w="15" w:type="dxa"/>
          <w:left w:w="15" w:type="dxa"/>
          <w:bottom w:w="15" w:type="dxa"/>
          <w:right w:w="15" w:type="dxa"/>
        </w:tblCellMar>
      </w:tblPr>
      <w:tblGrid>
        <w:gridCol w:w="960"/>
        <w:gridCol w:w="1200"/>
        <w:gridCol w:w="1560"/>
        <w:gridCol w:w="1560"/>
      </w:tblGrid>
      <w:tr w14:paraId="0F0BB80C">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00BE627">
            <w:pPr>
              <w:tabs>
                <w:tab w:val="left" w:pos="720"/>
              </w:tabs>
              <w:jc w:val="center"/>
              <w:rPr>
                <w:rFonts w:ascii="宋体" w:hAnsi="宋体"/>
              </w:rPr>
            </w:pPr>
            <w:r>
              <w:rPr>
                <w:rFonts w:ascii="宋体" w:hAnsi="宋体"/>
              </w:rPr>
              <w:t>类别</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33890F61">
            <w:pPr>
              <w:tabs>
                <w:tab w:val="left" w:pos="720"/>
              </w:tabs>
              <w:jc w:val="center"/>
              <w:rPr>
                <w:rFonts w:ascii="宋体" w:hAnsi="宋体"/>
              </w:rPr>
            </w:pPr>
            <w:r>
              <w:rPr>
                <w:rFonts w:ascii="宋体" w:hAnsi="宋体"/>
              </w:rPr>
              <w:t>总计数量</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2C1FD255">
            <w:pPr>
              <w:tabs>
                <w:tab w:val="left" w:pos="720"/>
              </w:tabs>
              <w:jc w:val="center"/>
              <w:rPr>
                <w:rFonts w:ascii="宋体" w:hAnsi="宋体"/>
              </w:rPr>
            </w:pPr>
            <w:r>
              <w:rPr>
                <w:rFonts w:ascii="宋体" w:hAnsi="宋体"/>
              </w:rPr>
              <w:t>标签 0 数量</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5BD4D567">
            <w:pPr>
              <w:tabs>
                <w:tab w:val="left" w:pos="720"/>
              </w:tabs>
              <w:jc w:val="center"/>
              <w:rPr>
                <w:rFonts w:ascii="宋体" w:hAnsi="宋体"/>
              </w:rPr>
            </w:pPr>
            <w:r>
              <w:rPr>
                <w:rFonts w:ascii="宋体" w:hAnsi="宋体"/>
              </w:rPr>
              <w:t>标签 1 数量</w:t>
            </w:r>
          </w:p>
        </w:tc>
      </w:tr>
      <w:tr w14:paraId="608D22E4">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4FA05FDA">
            <w:pPr>
              <w:tabs>
                <w:tab w:val="left" w:pos="720"/>
              </w:tabs>
              <w:jc w:val="center"/>
              <w:rPr>
                <w:rFonts w:ascii="宋体" w:hAnsi="宋体"/>
              </w:rPr>
            </w:pPr>
            <w:r>
              <w:rPr>
                <w:rFonts w:ascii="宋体" w:hAnsi="宋体"/>
              </w:rPr>
              <w:t>书籍</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568A1093">
            <w:pPr>
              <w:tabs>
                <w:tab w:val="left" w:pos="720"/>
              </w:tabs>
              <w:ind w:firstLine="420"/>
              <w:jc w:val="center"/>
              <w:rPr>
                <w:rFonts w:ascii="宋体" w:hAnsi="宋体"/>
              </w:rPr>
            </w:pPr>
            <w:r>
              <w:rPr>
                <w:rFonts w:ascii="宋体" w:hAnsi="宋体"/>
              </w:rPr>
              <w:t>701</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9AAC434">
            <w:pPr>
              <w:tabs>
                <w:tab w:val="left" w:pos="720"/>
              </w:tabs>
              <w:ind w:firstLine="420"/>
              <w:jc w:val="center"/>
              <w:rPr>
                <w:rFonts w:ascii="宋体" w:hAnsi="宋体"/>
              </w:rPr>
            </w:pPr>
            <w:r>
              <w:rPr>
                <w:rFonts w:ascii="宋体" w:hAnsi="宋体"/>
              </w:rPr>
              <w:t>350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735A879">
            <w:pPr>
              <w:tabs>
                <w:tab w:val="left" w:pos="720"/>
              </w:tabs>
              <w:ind w:firstLine="420"/>
              <w:jc w:val="center"/>
              <w:rPr>
                <w:rFonts w:ascii="宋体" w:hAnsi="宋体"/>
              </w:rPr>
            </w:pPr>
            <w:r>
              <w:rPr>
                <w:rFonts w:ascii="宋体" w:hAnsi="宋体"/>
              </w:rPr>
              <w:t>351</w:t>
            </w:r>
          </w:p>
        </w:tc>
      </w:tr>
      <w:tr w14:paraId="1A626DC7">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21806543">
            <w:pPr>
              <w:tabs>
                <w:tab w:val="left" w:pos="720"/>
              </w:tabs>
              <w:jc w:val="center"/>
              <w:rPr>
                <w:rFonts w:ascii="宋体" w:hAnsi="宋体"/>
              </w:rPr>
            </w:pPr>
            <w:r>
              <w:rPr>
                <w:rFonts w:ascii="宋体" w:hAnsi="宋体"/>
              </w:rPr>
              <w:t>平板</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55B98C69">
            <w:pPr>
              <w:tabs>
                <w:tab w:val="left" w:pos="720"/>
              </w:tabs>
              <w:ind w:firstLine="420"/>
              <w:jc w:val="center"/>
              <w:rPr>
                <w:rFonts w:ascii="宋体" w:hAnsi="宋体"/>
              </w:rPr>
            </w:pPr>
            <w:r>
              <w:rPr>
                <w:rFonts w:ascii="宋体" w:hAnsi="宋体"/>
              </w:rPr>
              <w:t>2000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4A4C8683">
            <w:pPr>
              <w:tabs>
                <w:tab w:val="left" w:pos="720"/>
              </w:tabs>
              <w:ind w:firstLine="420"/>
              <w:jc w:val="center"/>
              <w:rPr>
                <w:rFonts w:ascii="宋体" w:hAnsi="宋体"/>
              </w:rPr>
            </w:pPr>
            <w:r>
              <w:rPr>
                <w:rFonts w:ascii="宋体" w:hAnsi="宋体"/>
              </w:rPr>
              <w:t>1000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4D13EC8">
            <w:pPr>
              <w:tabs>
                <w:tab w:val="left" w:pos="720"/>
              </w:tabs>
              <w:ind w:firstLine="420"/>
              <w:jc w:val="center"/>
              <w:rPr>
                <w:rFonts w:ascii="宋体" w:hAnsi="宋体"/>
              </w:rPr>
            </w:pPr>
            <w:r>
              <w:rPr>
                <w:rFonts w:ascii="宋体" w:hAnsi="宋体"/>
              </w:rPr>
              <w:t>1000</w:t>
            </w:r>
          </w:p>
        </w:tc>
      </w:tr>
      <w:tr w14:paraId="40CA45C3">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4D1A2D28">
            <w:pPr>
              <w:tabs>
                <w:tab w:val="left" w:pos="720"/>
              </w:tabs>
              <w:jc w:val="center"/>
              <w:rPr>
                <w:rFonts w:ascii="宋体" w:hAnsi="宋体"/>
              </w:rPr>
            </w:pPr>
            <w:r>
              <w:rPr>
                <w:rFonts w:ascii="宋体" w:hAnsi="宋体"/>
              </w:rPr>
              <w:t>手机</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0432469">
            <w:pPr>
              <w:tabs>
                <w:tab w:val="left" w:pos="720"/>
              </w:tabs>
              <w:ind w:firstLine="420"/>
              <w:jc w:val="center"/>
              <w:rPr>
                <w:rFonts w:ascii="宋体" w:hAnsi="宋体"/>
              </w:rPr>
            </w:pPr>
            <w:r>
              <w:rPr>
                <w:rFonts w:ascii="宋体" w:hAnsi="宋体"/>
              </w:rPr>
              <w:t>463</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2AD8918F">
            <w:pPr>
              <w:tabs>
                <w:tab w:val="left" w:pos="720"/>
              </w:tabs>
              <w:ind w:firstLine="420"/>
              <w:jc w:val="center"/>
              <w:rPr>
                <w:rFonts w:ascii="宋体" w:hAnsi="宋体"/>
              </w:rPr>
            </w:pPr>
            <w:r>
              <w:rPr>
                <w:rFonts w:ascii="宋体" w:hAnsi="宋体"/>
              </w:rPr>
              <w:t>231</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5154E461">
            <w:pPr>
              <w:tabs>
                <w:tab w:val="left" w:pos="720"/>
              </w:tabs>
              <w:ind w:firstLine="420"/>
              <w:jc w:val="center"/>
              <w:rPr>
                <w:rFonts w:ascii="宋体" w:hAnsi="宋体"/>
              </w:rPr>
            </w:pPr>
            <w:r>
              <w:rPr>
                <w:rFonts w:ascii="宋体" w:hAnsi="宋体"/>
              </w:rPr>
              <w:t>232</w:t>
            </w:r>
          </w:p>
        </w:tc>
      </w:tr>
      <w:tr w14:paraId="4AE6DC42">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2AE33297">
            <w:pPr>
              <w:tabs>
                <w:tab w:val="left" w:pos="720"/>
              </w:tabs>
              <w:jc w:val="center"/>
              <w:rPr>
                <w:rFonts w:ascii="宋体" w:hAnsi="宋体"/>
              </w:rPr>
            </w:pPr>
            <w:r>
              <w:rPr>
                <w:rFonts w:ascii="宋体" w:hAnsi="宋体"/>
              </w:rPr>
              <w:t>水果</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6918A225">
            <w:pPr>
              <w:tabs>
                <w:tab w:val="left" w:pos="720"/>
              </w:tabs>
              <w:ind w:firstLine="420"/>
              <w:jc w:val="center"/>
              <w:rPr>
                <w:rFonts w:ascii="宋体" w:hAnsi="宋体"/>
              </w:rPr>
            </w:pPr>
            <w:r>
              <w:rPr>
                <w:rFonts w:ascii="宋体" w:hAnsi="宋体"/>
              </w:rPr>
              <w:t>1999</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11156BB">
            <w:pPr>
              <w:tabs>
                <w:tab w:val="left" w:pos="720"/>
              </w:tabs>
              <w:ind w:firstLine="420"/>
              <w:jc w:val="center"/>
              <w:rPr>
                <w:rFonts w:ascii="宋体" w:hAnsi="宋体"/>
              </w:rPr>
            </w:pPr>
            <w:r>
              <w:rPr>
                <w:rFonts w:ascii="宋体" w:hAnsi="宋体"/>
              </w:rPr>
              <w:t>999</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41393659">
            <w:pPr>
              <w:tabs>
                <w:tab w:val="left" w:pos="720"/>
              </w:tabs>
              <w:ind w:firstLine="420"/>
              <w:jc w:val="center"/>
              <w:rPr>
                <w:rFonts w:ascii="宋体" w:hAnsi="宋体"/>
              </w:rPr>
            </w:pPr>
            <w:r>
              <w:rPr>
                <w:rFonts w:ascii="宋体" w:hAnsi="宋体"/>
              </w:rPr>
              <w:t>1000</w:t>
            </w:r>
          </w:p>
        </w:tc>
      </w:tr>
      <w:tr w14:paraId="2D724627">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59CA759">
            <w:pPr>
              <w:tabs>
                <w:tab w:val="left" w:pos="720"/>
              </w:tabs>
              <w:jc w:val="center"/>
              <w:rPr>
                <w:rFonts w:ascii="宋体" w:hAnsi="宋体"/>
              </w:rPr>
            </w:pPr>
            <w:r>
              <w:rPr>
                <w:rFonts w:ascii="宋体" w:hAnsi="宋体"/>
              </w:rPr>
              <w:t>洗发水</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35CCACDE">
            <w:pPr>
              <w:tabs>
                <w:tab w:val="left" w:pos="720"/>
              </w:tabs>
              <w:ind w:firstLine="420"/>
              <w:jc w:val="center"/>
              <w:rPr>
                <w:rFonts w:ascii="宋体" w:hAnsi="宋体"/>
              </w:rPr>
            </w:pPr>
            <w:r>
              <w:rPr>
                <w:rFonts w:ascii="宋体" w:hAnsi="宋体"/>
              </w:rPr>
              <w:t>2000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8108895">
            <w:pPr>
              <w:tabs>
                <w:tab w:val="left" w:pos="720"/>
              </w:tabs>
              <w:ind w:firstLine="420"/>
              <w:jc w:val="center"/>
              <w:rPr>
                <w:rFonts w:ascii="宋体" w:hAnsi="宋体"/>
              </w:rPr>
            </w:pPr>
            <w:r>
              <w:rPr>
                <w:rFonts w:ascii="宋体" w:hAnsi="宋体"/>
              </w:rPr>
              <w:t>1000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D547DFD">
            <w:pPr>
              <w:tabs>
                <w:tab w:val="left" w:pos="720"/>
              </w:tabs>
              <w:ind w:firstLine="420"/>
              <w:jc w:val="center"/>
              <w:rPr>
                <w:rFonts w:ascii="宋体" w:hAnsi="宋体"/>
              </w:rPr>
            </w:pPr>
            <w:r>
              <w:rPr>
                <w:rFonts w:ascii="宋体" w:hAnsi="宋体"/>
              </w:rPr>
              <w:t>1000</w:t>
            </w:r>
          </w:p>
        </w:tc>
      </w:tr>
      <w:tr w14:paraId="601B8AA5">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3FA07BC">
            <w:pPr>
              <w:tabs>
                <w:tab w:val="left" w:pos="720"/>
              </w:tabs>
              <w:jc w:val="center"/>
              <w:rPr>
                <w:rFonts w:ascii="宋体" w:hAnsi="宋体"/>
              </w:rPr>
            </w:pPr>
            <w:r>
              <w:rPr>
                <w:rFonts w:ascii="宋体" w:hAnsi="宋体"/>
              </w:rPr>
              <w:t>热水器</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A07684C">
            <w:pPr>
              <w:tabs>
                <w:tab w:val="left" w:pos="720"/>
              </w:tabs>
              <w:ind w:firstLine="420"/>
              <w:jc w:val="center"/>
              <w:rPr>
                <w:rFonts w:ascii="宋体" w:hAnsi="宋体"/>
              </w:rPr>
            </w:pPr>
            <w:r>
              <w:rPr>
                <w:rFonts w:ascii="宋体" w:hAnsi="宋体"/>
              </w:rPr>
              <w:t>40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93923DF">
            <w:pPr>
              <w:tabs>
                <w:tab w:val="left" w:pos="720"/>
              </w:tabs>
              <w:ind w:firstLine="420"/>
              <w:jc w:val="center"/>
              <w:rPr>
                <w:rFonts w:ascii="宋体" w:hAnsi="宋体"/>
              </w:rPr>
            </w:pPr>
            <w:r>
              <w:rPr>
                <w:rFonts w:ascii="宋体" w:hAnsi="宋体"/>
              </w:rPr>
              <w:t>20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7021EA04">
            <w:pPr>
              <w:tabs>
                <w:tab w:val="left" w:pos="720"/>
              </w:tabs>
              <w:ind w:firstLine="420"/>
              <w:jc w:val="center"/>
              <w:rPr>
                <w:rFonts w:ascii="宋体" w:hAnsi="宋体"/>
              </w:rPr>
            </w:pPr>
            <w:r>
              <w:rPr>
                <w:rFonts w:ascii="宋体" w:hAnsi="宋体"/>
              </w:rPr>
              <w:t>20</w:t>
            </w:r>
          </w:p>
        </w:tc>
      </w:tr>
      <w:tr w14:paraId="5EBD1BC6">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BA2CB10">
            <w:pPr>
              <w:tabs>
                <w:tab w:val="left" w:pos="720"/>
              </w:tabs>
              <w:jc w:val="center"/>
              <w:rPr>
                <w:rFonts w:ascii="宋体" w:hAnsi="宋体"/>
              </w:rPr>
            </w:pPr>
            <w:r>
              <w:rPr>
                <w:rFonts w:ascii="宋体" w:hAnsi="宋体"/>
              </w:rPr>
              <w:t>蒙牛</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4F54E699">
            <w:pPr>
              <w:tabs>
                <w:tab w:val="left" w:pos="720"/>
              </w:tabs>
              <w:ind w:firstLine="420"/>
              <w:jc w:val="center"/>
              <w:rPr>
                <w:rFonts w:ascii="宋体" w:hAnsi="宋体"/>
              </w:rPr>
            </w:pPr>
            <w:r>
              <w:rPr>
                <w:rFonts w:ascii="宋体" w:hAnsi="宋体"/>
              </w:rPr>
              <w:t>397</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71F67DB">
            <w:pPr>
              <w:tabs>
                <w:tab w:val="left" w:pos="720"/>
              </w:tabs>
              <w:ind w:firstLine="420"/>
              <w:jc w:val="center"/>
              <w:rPr>
                <w:rFonts w:ascii="宋体" w:hAnsi="宋体"/>
              </w:rPr>
            </w:pPr>
            <w:r>
              <w:rPr>
                <w:rFonts w:ascii="宋体" w:hAnsi="宋体"/>
              </w:rPr>
              <w:t>199</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5AE00217">
            <w:pPr>
              <w:tabs>
                <w:tab w:val="left" w:pos="720"/>
              </w:tabs>
              <w:ind w:firstLine="420"/>
              <w:jc w:val="center"/>
              <w:rPr>
                <w:rFonts w:ascii="宋体" w:hAnsi="宋体"/>
              </w:rPr>
            </w:pPr>
            <w:r>
              <w:rPr>
                <w:rFonts w:ascii="宋体" w:hAnsi="宋体"/>
              </w:rPr>
              <w:t>198</w:t>
            </w:r>
          </w:p>
        </w:tc>
      </w:tr>
      <w:tr w14:paraId="3DEEAE59">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7DF5898">
            <w:pPr>
              <w:tabs>
                <w:tab w:val="left" w:pos="720"/>
              </w:tabs>
              <w:jc w:val="center"/>
              <w:rPr>
                <w:rFonts w:ascii="宋体" w:hAnsi="宋体"/>
              </w:rPr>
            </w:pPr>
            <w:r>
              <w:rPr>
                <w:rFonts w:ascii="宋体" w:hAnsi="宋体"/>
              </w:rPr>
              <w:t>衣服</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6E5674A4">
            <w:pPr>
              <w:tabs>
                <w:tab w:val="left" w:pos="720"/>
              </w:tabs>
              <w:ind w:firstLine="420"/>
              <w:jc w:val="center"/>
              <w:rPr>
                <w:rFonts w:ascii="宋体" w:hAnsi="宋体"/>
              </w:rPr>
            </w:pPr>
            <w:r>
              <w:rPr>
                <w:rFonts w:ascii="宋体" w:hAnsi="宋体"/>
              </w:rPr>
              <w:t>1997</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5C5A4FA">
            <w:pPr>
              <w:tabs>
                <w:tab w:val="left" w:pos="720"/>
              </w:tabs>
              <w:ind w:firstLine="420"/>
              <w:jc w:val="center"/>
              <w:rPr>
                <w:rFonts w:ascii="宋体" w:hAnsi="宋体"/>
              </w:rPr>
            </w:pPr>
            <w:r>
              <w:rPr>
                <w:rFonts w:ascii="宋体" w:hAnsi="宋体"/>
              </w:rPr>
              <w:t>998</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A56C5CB">
            <w:pPr>
              <w:tabs>
                <w:tab w:val="left" w:pos="720"/>
              </w:tabs>
              <w:ind w:firstLine="420"/>
              <w:jc w:val="center"/>
              <w:rPr>
                <w:rFonts w:ascii="宋体" w:hAnsi="宋体"/>
              </w:rPr>
            </w:pPr>
            <w:r>
              <w:rPr>
                <w:rFonts w:ascii="宋体" w:hAnsi="宋体"/>
              </w:rPr>
              <w:t>999</w:t>
            </w:r>
          </w:p>
        </w:tc>
      </w:tr>
      <w:tr w14:paraId="2A80789E">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8A36F9E">
            <w:pPr>
              <w:tabs>
                <w:tab w:val="left" w:pos="720"/>
              </w:tabs>
              <w:jc w:val="center"/>
              <w:rPr>
                <w:rFonts w:ascii="宋体" w:hAnsi="宋体"/>
              </w:rPr>
            </w:pPr>
            <w:r>
              <w:rPr>
                <w:rFonts w:ascii="宋体" w:hAnsi="宋体"/>
              </w:rPr>
              <w:t>计算机</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0FDA75E">
            <w:pPr>
              <w:tabs>
                <w:tab w:val="left" w:pos="720"/>
              </w:tabs>
              <w:ind w:firstLine="420"/>
              <w:jc w:val="center"/>
              <w:rPr>
                <w:rFonts w:ascii="宋体" w:hAnsi="宋体"/>
              </w:rPr>
            </w:pPr>
            <w:r>
              <w:rPr>
                <w:rFonts w:ascii="宋体" w:hAnsi="宋体"/>
              </w:rPr>
              <w:t>795</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E0A5FA6">
            <w:pPr>
              <w:tabs>
                <w:tab w:val="left" w:pos="720"/>
              </w:tabs>
              <w:ind w:firstLine="420"/>
              <w:jc w:val="center"/>
              <w:rPr>
                <w:rFonts w:ascii="宋体" w:hAnsi="宋体"/>
              </w:rPr>
            </w:pPr>
            <w:r>
              <w:rPr>
                <w:rFonts w:ascii="宋体" w:hAnsi="宋体"/>
              </w:rPr>
              <w:t>397</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F041403">
            <w:pPr>
              <w:tabs>
                <w:tab w:val="left" w:pos="720"/>
              </w:tabs>
              <w:ind w:firstLine="420"/>
              <w:jc w:val="center"/>
              <w:rPr>
                <w:rFonts w:ascii="宋体" w:hAnsi="宋体"/>
              </w:rPr>
            </w:pPr>
            <w:r>
              <w:rPr>
                <w:rFonts w:ascii="宋体" w:hAnsi="宋体"/>
              </w:rPr>
              <w:t>398</w:t>
            </w:r>
          </w:p>
        </w:tc>
      </w:tr>
      <w:tr w14:paraId="4AF51A3D">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DA0061A">
            <w:pPr>
              <w:tabs>
                <w:tab w:val="left" w:pos="720"/>
              </w:tabs>
              <w:jc w:val="center"/>
              <w:rPr>
                <w:rFonts w:ascii="宋体" w:hAnsi="宋体"/>
              </w:rPr>
            </w:pPr>
            <w:r>
              <w:rPr>
                <w:rFonts w:ascii="宋体" w:hAnsi="宋体"/>
              </w:rPr>
              <w:t>酒店</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1F16D439">
            <w:pPr>
              <w:tabs>
                <w:tab w:val="left" w:pos="720"/>
              </w:tabs>
              <w:ind w:firstLine="420"/>
              <w:jc w:val="center"/>
              <w:rPr>
                <w:rFonts w:ascii="宋体" w:hAnsi="宋体"/>
              </w:rPr>
            </w:pPr>
            <w:r>
              <w:rPr>
                <w:rFonts w:ascii="宋体" w:hAnsi="宋体"/>
              </w:rPr>
              <w:t>2000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49D85673">
            <w:pPr>
              <w:tabs>
                <w:tab w:val="left" w:pos="720"/>
              </w:tabs>
              <w:ind w:firstLine="420"/>
              <w:jc w:val="center"/>
              <w:rPr>
                <w:rFonts w:ascii="宋体" w:hAnsi="宋体"/>
              </w:rPr>
            </w:pPr>
            <w:r>
              <w:rPr>
                <w:rFonts w:ascii="宋体" w:hAnsi="宋体"/>
              </w:rPr>
              <w:t>1000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vAlign w:val="center"/>
          </w:tcPr>
          <w:p w14:paraId="0B7963C4">
            <w:pPr>
              <w:tabs>
                <w:tab w:val="left" w:pos="720"/>
              </w:tabs>
              <w:ind w:firstLine="420"/>
              <w:jc w:val="center"/>
              <w:rPr>
                <w:rFonts w:ascii="宋体" w:hAnsi="宋体"/>
              </w:rPr>
            </w:pPr>
            <w:r>
              <w:rPr>
                <w:rFonts w:ascii="宋体" w:hAnsi="宋体"/>
              </w:rPr>
              <w:t>1000</w:t>
            </w:r>
          </w:p>
        </w:tc>
      </w:tr>
    </w:tbl>
    <w:p w14:paraId="50589288">
      <w:pPr>
        <w:pStyle w:val="4"/>
      </w:pPr>
      <w:r>
        <w:t>数据统计特性检验</w:t>
      </w:r>
    </w:p>
    <w:p w14:paraId="0440C256">
      <w:pPr>
        <w:ind w:firstLine="420"/>
      </w:pPr>
      <w:r>
        <w:t>为评估数据分布是否符合正态分布假设，本研究采用了定性可视化分析与定量统计检验相结合的方法。首先计算训练集和测试集的基本统计量：训练集文本长度均值为57.83，标准差为77.26，最小值为5，最大值为2,876；测试集文本长度均值为58.44，标准差为82.88，最小值为5，最大值为2,270。从统计学意义上看，两个数据集具有高度相似的分布特征。</w:t>
      </w:r>
    </w:p>
    <w:p w14:paraId="06E8EBC3">
      <w:pPr>
        <w:tabs>
          <w:tab w:val="left" w:pos="720"/>
        </w:tabs>
        <w:rPr>
          <w:bCs/>
        </w:rPr>
      </w:pPr>
      <w:r>
        <w:tab/>
      </w:r>
      <w:r>
        <w:t>核密度估计（KDE）分析采用Scott规则确定最优带宽。Scott规则基于渐近平均积分平方误差最小化推导，假设数据来自正态分布，其带宽计算公式为</w:t>
      </w:r>
      <m:oMath>
        <m:r>
          <m:rPr>
            <m:sty m:val="bi"/>
          </m:rPr>
          <w:rPr>
            <w:rFonts w:ascii="Cambria Math" w:hAnsi="Cambria Math" w:cs="Times New Roman"/>
          </w:rPr>
          <m:t>h=</m:t>
        </m:r>
        <m:sSup>
          <m:sSupPr>
            <m:ctrlPr>
              <w:rPr>
                <w:rFonts w:ascii="Cambria Math" w:hAnsi="Cambria Math" w:cs="Times New Roman"/>
                <w:b/>
                <w:bCs/>
              </w:rPr>
            </m:ctrlPr>
          </m:sSupPr>
          <m:e>
            <m:r>
              <m:rPr>
                <m:sty m:val="bi"/>
              </m:rPr>
              <w:rPr>
                <w:rFonts w:ascii="Cambria Math" w:hAnsi="Cambria Math" w:cs="Times New Roman"/>
              </w:rPr>
              <m:t>n</m:t>
            </m:r>
            <m:ctrlPr>
              <w:rPr>
                <w:rFonts w:ascii="Cambria Math" w:hAnsi="Cambria Math" w:cs="Times New Roman"/>
                <w:b/>
                <w:bCs/>
              </w:rPr>
            </m:ctrlPr>
          </m:e>
          <m:sup>
            <m:r>
              <m:rPr>
                <m:sty m:val="bi"/>
              </m:rPr>
              <w:rPr>
                <w:rFonts w:ascii="Cambria Math" w:hAnsi="Cambria Math" w:cs="Times New Roman"/>
              </w:rPr>
              <m:t>−</m:t>
            </m:r>
            <m:f>
              <m:fPr>
                <m:ctrlPr>
                  <w:rPr>
                    <w:rFonts w:ascii="Cambria Math" w:hAnsi="Cambria Math" w:cs="Times New Roman"/>
                    <w:b/>
                  </w:rPr>
                </m:ctrlPr>
              </m:fPr>
              <m:num>
                <m:r>
                  <m:rPr>
                    <m:sty m:val="bi"/>
                  </m:rPr>
                  <w:rPr>
                    <w:rFonts w:ascii="Cambria Math" w:hAnsi="Cambria Math" w:cs="Times New Roman"/>
                  </w:rPr>
                  <m:t>1</m:t>
                </m:r>
                <m:ctrlPr>
                  <w:rPr>
                    <w:rFonts w:ascii="Cambria Math" w:hAnsi="Cambria Math" w:cs="Times New Roman"/>
                    <w:b/>
                    <w:i/>
                  </w:rPr>
                </m:ctrlPr>
              </m:num>
              <m:den>
                <m:r>
                  <m:rPr>
                    <m:sty m:val="bi"/>
                  </m:rPr>
                  <w:rPr>
                    <w:rFonts w:ascii="Cambria Math" w:hAnsi="Cambria Math" w:cs="Times New Roman"/>
                  </w:rPr>
                  <m:t>d+4</m:t>
                </m:r>
                <m:ctrlPr>
                  <w:rPr>
                    <w:rFonts w:ascii="Cambria Math" w:hAnsi="Cambria Math" w:cs="Times New Roman"/>
                    <w:b/>
                  </w:rPr>
                </m:ctrlPr>
              </m:den>
            </m:f>
            <m:ctrlPr>
              <w:rPr>
                <w:rFonts w:ascii="Cambria Math" w:hAnsi="Cambria Math" w:cs="Times New Roman"/>
                <w:b/>
                <w:bCs/>
              </w:rPr>
            </m:ctrlPr>
          </m:sup>
        </m:sSup>
        <m:r>
          <m:rPr>
            <m:sty m:val="bi"/>
          </m:rPr>
          <w:rPr>
            <w:rFonts w:ascii="Cambria Math" w:hAnsi="Cambria Math" w:cs="Times New Roman"/>
          </w:rPr>
          <m:t>×σ</m:t>
        </m:r>
      </m:oMath>
      <w:r>
        <w:t>，其中n为样本量，d为维度，σ为标准差。对于一维数据且假设正态分布，该公式简化为</w:t>
      </w:r>
      <m:oMath>
        <m:sSub>
          <m:sSubPr>
            <m:ctrlPr>
              <w:rPr>
                <w:rFonts w:ascii="Cambria Math" w:hAnsi="Cambria Math" w:cs="Times New Roman"/>
                <w:b/>
                <w:bCs/>
              </w:rPr>
            </m:ctrlPr>
          </m:sSubPr>
          <m:e>
            <m:r>
              <m:rPr>
                <m:sty m:val="bi"/>
              </m:rPr>
              <w:rPr>
                <w:rFonts w:ascii="Cambria Math" w:hAnsi="Cambria Math" w:cs="Times New Roman"/>
              </w:rPr>
              <m:t>h</m:t>
            </m:r>
            <m:ctrlPr>
              <w:rPr>
                <w:rFonts w:ascii="Cambria Math" w:hAnsi="Cambria Math" w:cs="Times New Roman"/>
                <w:b/>
                <w:bCs/>
              </w:rPr>
            </m:ctrlPr>
          </m:e>
          <m:sub>
            <m:r>
              <m:rPr>
                <m:nor/>
                <m:sty m:val="b"/>
              </m:rPr>
              <w:rPr>
                <w:rFonts w:cs="Times New Roman"/>
                <w:b/>
                <w:bCs/>
              </w:rPr>
              <m:t>Scott</m:t>
            </m:r>
            <m:ctrlPr>
              <w:rPr>
                <w:rFonts w:ascii="Cambria Math" w:hAnsi="Cambria Math" w:cs="Times New Roman"/>
                <w:b/>
                <w:bCs/>
              </w:rPr>
            </m:ctrlPr>
          </m:sub>
        </m:sSub>
        <m:r>
          <m:rPr>
            <m:sty m:val="bi"/>
          </m:rPr>
          <w:rPr>
            <w:rFonts w:ascii="Cambria Math" w:hAnsi="Cambria Math" w:cs="Times New Roman"/>
          </w:rPr>
          <m:t>=</m:t>
        </m:r>
        <m:sSup>
          <m:sSupPr>
            <m:ctrlPr>
              <w:rPr>
                <w:rFonts w:ascii="Cambria Math" w:hAnsi="Cambria Math" w:cs="Times New Roman"/>
                <w:b/>
                <w:bCs/>
              </w:rPr>
            </m:ctrlPr>
          </m:sSupPr>
          <m:e>
            <m:r>
              <m:rPr>
                <m:sty m:val="bi"/>
              </m:rPr>
              <w:rPr>
                <w:rFonts w:ascii="Cambria Math" w:hAnsi="Cambria Math" w:cs="Times New Roman"/>
              </w:rPr>
              <m:t>n</m:t>
            </m:r>
            <m:ctrlPr>
              <w:rPr>
                <w:rFonts w:ascii="Cambria Math" w:hAnsi="Cambria Math" w:cs="Times New Roman"/>
                <w:b/>
                <w:bCs/>
              </w:rPr>
            </m:ctrlPr>
          </m:e>
          <m:sup>
            <m:r>
              <m:rPr>
                <m:sty m:val="bi"/>
              </m:rPr>
              <w:rPr>
                <w:rFonts w:ascii="Cambria Math" w:hAnsi="Cambria Math" w:cs="Times New Roman"/>
              </w:rPr>
              <m:t>−1</m:t>
            </m:r>
            <m:r>
              <m:rPr>
                <m:sty m:val="b"/>
              </m:rPr>
              <w:rPr>
                <w:rFonts w:ascii="Cambria Math" w:hAnsi="Cambria Math" w:cs="Times New Roman"/>
              </w:rPr>
              <m:t>/</m:t>
            </m:r>
            <m:r>
              <m:rPr>
                <m:sty m:val="bi"/>
              </m:rPr>
              <w:rPr>
                <w:rFonts w:ascii="Cambria Math" w:hAnsi="Cambria Math" w:cs="Times New Roman"/>
              </w:rPr>
              <m:t>5</m:t>
            </m:r>
            <m:ctrlPr>
              <w:rPr>
                <w:rFonts w:ascii="Cambria Math" w:hAnsi="Cambria Math" w:cs="Times New Roman"/>
                <w:b/>
                <w:bCs/>
              </w:rPr>
            </m:ctrlPr>
          </m:sup>
        </m:sSup>
        <m:r>
          <m:rPr>
            <m:sty m:val="bi"/>
          </m:rPr>
          <w:rPr>
            <w:rFonts w:ascii="Cambria Math" w:hAnsi="Cambria Math" w:cs="Times New Roman"/>
          </w:rPr>
          <m:t>σ</m:t>
        </m:r>
      </m:oMath>
      <w:r>
        <w:rPr>
          <w:rFonts w:hint="eastAsia"/>
          <w:b/>
        </w:rPr>
        <w:t xml:space="preserve"> </w:t>
      </w:r>
      <w:r>
        <w:rPr>
          <w:rFonts w:hint="eastAsia"/>
          <w:bCs/>
        </w:rPr>
        <w:t>。</w:t>
      </w:r>
      <w:r>
        <w:rPr>
          <w:bCs/>
        </w:rPr>
        <w:t>这一方法适用于本实验中等规模且未知分布类型的数据集，能够在平滑性与细节保留之间取得良好平衡。</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55"/>
        <w:gridCol w:w="5327"/>
      </w:tblGrid>
      <w:tr w14:paraId="59A1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5" w:type="dxa"/>
          </w:tcPr>
          <w:p w14:paraId="3F7013EA">
            <w:pPr>
              <w:keepNext/>
              <w:jc w:val="center"/>
            </w:pPr>
            <w:r>
              <w:rPr>
                <w:rFonts w:hint="eastAsia"/>
              </w:rPr>
              <w:drawing>
                <wp:inline distT="0" distB="0" distL="0" distR="0">
                  <wp:extent cx="3303905" cy="2466975"/>
                  <wp:effectExtent l="0" t="0" r="0" b="0"/>
                  <wp:docPr id="3887659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65909"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24659" cy="2482209"/>
                          </a:xfrm>
                          <a:prstGeom prst="rect">
                            <a:avLst/>
                          </a:prstGeom>
                        </pic:spPr>
                      </pic:pic>
                    </a:graphicData>
                  </a:graphic>
                </wp:inline>
              </w:drawing>
            </w:r>
          </w:p>
          <w:p w14:paraId="226C8333">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2</w:t>
            </w:r>
            <w:r>
              <w:fldChar w:fldCharType="end"/>
            </w:r>
            <w:r>
              <w:rPr>
                <w:rFonts w:hint="eastAsia"/>
              </w:rPr>
              <w:t>理论正态分布与实际数据分布对比图</w:t>
            </w:r>
          </w:p>
        </w:tc>
        <w:tc>
          <w:tcPr>
            <w:tcW w:w="5327" w:type="dxa"/>
          </w:tcPr>
          <w:p w14:paraId="1BCA3848">
            <w:pPr>
              <w:keepNext/>
              <w:jc w:val="center"/>
            </w:pPr>
            <w:r>
              <w:rPr>
                <w:rFonts w:hint="eastAsia"/>
              </w:rPr>
              <w:drawing>
                <wp:inline distT="0" distB="0" distL="0" distR="0">
                  <wp:extent cx="3286125" cy="2438400"/>
                  <wp:effectExtent l="0" t="0" r="0" b="0"/>
                  <wp:docPr id="6224293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29311" name="图片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00755" cy="2449430"/>
                          </a:xfrm>
                          <a:prstGeom prst="rect">
                            <a:avLst/>
                          </a:prstGeom>
                        </pic:spPr>
                      </pic:pic>
                    </a:graphicData>
                  </a:graphic>
                </wp:inline>
              </w:drawing>
            </w:r>
          </w:p>
          <w:p w14:paraId="37F1FDC4">
            <w:pPr>
              <w:pStyle w:val="6"/>
              <w:jc w:val="center"/>
            </w:pPr>
            <w:r>
              <w:t xml:space="preserve">图 </w:t>
            </w:r>
            <w:r>
              <w:fldChar w:fldCharType="begin"/>
            </w:r>
            <w:r>
              <w:instrText xml:space="preserve"> STYLEREF 1 \s </w:instrText>
            </w:r>
            <w:r>
              <w:fldChar w:fldCharType="separate"/>
            </w:r>
            <w:r>
              <w:rPr>
                <w:rFonts w:hint="eastAsia"/>
              </w:rPr>
              <w:t>4</w:t>
            </w:r>
            <w:r>
              <w:rPr>
                <w:rFonts w:hint="eastAsia"/>
              </w:rPr>
              <w:fldChar w:fldCharType="end"/>
            </w:r>
            <w:r>
              <w:noBreakHyphen/>
            </w:r>
            <w:r>
              <w:fldChar w:fldCharType="begin"/>
            </w:r>
            <w:r>
              <w:instrText xml:space="preserve"> SEQ 图 \* ARABIC \s 1 </w:instrText>
            </w:r>
            <w:r>
              <w:fldChar w:fldCharType="separate"/>
            </w:r>
            <w:r>
              <w:rPr>
                <w:rFonts w:hint="eastAsia"/>
              </w:rPr>
              <w:t>3</w:t>
            </w:r>
            <w:r>
              <w:fldChar w:fldCharType="end"/>
            </w:r>
            <w:r>
              <w:rPr>
                <w:rFonts w:hint="eastAsia"/>
              </w:rPr>
              <w:t>训练集和测试集箱线图对比</w:t>
            </w:r>
          </w:p>
        </w:tc>
      </w:tr>
    </w:tbl>
    <w:p w14:paraId="543A7843">
      <w:pPr>
        <w:ind w:firstLine="420"/>
      </w:pPr>
      <w:r>
        <w:t>通过对比理论正态分布曲线与实际KDE曲线，可以清晰发现数据在定性层面明显偏离正态分布。箱线图显示，训练集和测试集的第一四分位数（Q1）、第三四分位数（Q3）以及四分位距（IQR = Q3 - Q1）数值十分相近，进一步证实了两个数据集的分布一致性。</w:t>
      </w:r>
    </w:p>
    <w:p w14:paraId="62248ACA">
      <w:pPr>
        <w:ind w:firstLine="420"/>
      </w:pPr>
      <w:r>
        <w:t>定量分析采用D'Agostino-Pearson正态性检验方法。该检验基于偏度和峰度两个统计量构建综合检验指标。偏度的计算公式为：</w:t>
      </w:r>
    </w:p>
    <w:p w14:paraId="5AB08F48">
      <w:pPr>
        <w:rPr>
          <w:b/>
          <w:bCs/>
          <w:iCs/>
        </w:rPr>
      </w:pPr>
      <m:oMathPara>
        <m:oMath>
          <m:sSub>
            <m:sSubPr>
              <m:ctrlPr>
                <w:rPr>
                  <w:rFonts w:ascii="Cambria Math" w:hAnsi="Cambria Math"/>
                  <w:b/>
                  <w:bCs/>
                </w:rPr>
              </m:ctrlPr>
            </m:sSubPr>
            <m:e>
              <m:r>
                <m:rPr>
                  <m:sty m:val="bi"/>
                </m:rPr>
                <w:rPr>
                  <w:rFonts w:hint="eastAsia" w:ascii="Cambria Math" w:hAnsi="Cambria Math"/>
                </w:rPr>
                <m:t>Z</m:t>
              </m:r>
              <m:ctrlPr>
                <w:rPr>
                  <w:rFonts w:ascii="Cambria Math" w:hAnsi="Cambria Math"/>
                  <w:b/>
                  <w:bCs/>
                </w:rPr>
              </m:ctrlPr>
            </m:e>
            <m:sub>
              <m:sSub>
                <m:sSubPr>
                  <m:ctrlPr>
                    <w:rPr>
                      <w:rFonts w:ascii="Cambria Math" w:hAnsi="Cambria Math"/>
                      <w:b/>
                      <w:bCs/>
                      <w:i/>
                      <w:iCs/>
                    </w:rPr>
                  </m:ctrlPr>
                </m:sSubPr>
                <m:e>
                  <m:r>
                    <m:rPr>
                      <m:sty m:val="bi"/>
                    </m:rPr>
                    <w:rPr>
                      <w:rFonts w:hint="eastAsia" w:ascii="Cambria Math" w:hAnsi="Cambria Math"/>
                    </w:rPr>
                    <m:t>g</m:t>
                  </m:r>
                  <m:ctrlPr>
                    <w:rPr>
                      <w:rFonts w:ascii="Cambria Math" w:hAnsi="Cambria Math"/>
                      <w:b/>
                      <w:bCs/>
                      <w:i/>
                      <w:iCs/>
                    </w:rPr>
                  </m:ctrlPr>
                </m:e>
                <m:sub>
                  <m:r>
                    <m:rPr>
                      <m:sty m:val="b"/>
                    </m:rPr>
                    <w:rPr>
                      <w:rFonts w:hint="cs" w:ascii="Cambria Math" w:hAnsi="Cambria Math" w:cs="Cambria Math"/>
                      <w:rtl/>
                      <w:lang w:bidi="ar-AE"/>
                    </w:rPr>
                    <m:t>1</m:t>
                  </m:r>
                  <m:ctrlPr>
                    <w:rPr>
                      <w:rFonts w:ascii="Cambria Math" w:hAnsi="Cambria Math"/>
                      <w:b/>
                      <w:bCs/>
                      <w:i/>
                      <w:iCs/>
                    </w:rPr>
                  </m:ctrlPr>
                </m:sub>
              </m:sSub>
              <m:ctrlPr>
                <w:rPr>
                  <w:rFonts w:ascii="Cambria Math" w:hAnsi="Cambria Math"/>
                  <w:b/>
                  <w:bCs/>
                </w:rPr>
              </m:ctrlPr>
            </m:sub>
          </m:sSub>
          <m:r>
            <m:rPr>
              <m:sty m:val="b"/>
            </m:rPr>
            <w:rPr>
              <w:rFonts w:hint="eastAsia" w:ascii="Cambria Math" w:hAnsi="Cambria Math"/>
              <w:rtl/>
              <w:lang w:bidi="ar-AE"/>
            </w:rPr>
            <m:t>=</m:t>
          </m:r>
          <m:f>
            <m:fPr>
              <m:ctrlPr>
                <w:rPr>
                  <w:rFonts w:ascii="Cambria Math" w:hAnsi="Cambria Math"/>
                  <w:b/>
                  <w:bCs/>
                  <w:i/>
                  <w:iCs/>
                </w:rPr>
              </m:ctrlPr>
            </m:fPr>
            <m:num>
              <m:sSub>
                <m:sSubPr>
                  <m:ctrlPr>
                    <w:rPr>
                      <w:rFonts w:ascii="Cambria Math" w:hAnsi="Cambria Math"/>
                      <w:b/>
                      <w:bCs/>
                      <w:i/>
                      <w:iCs/>
                    </w:rPr>
                  </m:ctrlPr>
                </m:sSubPr>
                <m:e>
                  <m:r>
                    <m:rPr>
                      <m:sty m:val="bi"/>
                    </m:rPr>
                    <w:rPr>
                      <w:rFonts w:hint="eastAsia" w:ascii="Cambria Math" w:hAnsi="Cambria Math"/>
                    </w:rPr>
                    <m:t>g</m:t>
                  </m:r>
                  <m:ctrlPr>
                    <w:rPr>
                      <w:rFonts w:ascii="Cambria Math" w:hAnsi="Cambria Math"/>
                      <w:b/>
                      <w:bCs/>
                      <w:i/>
                      <w:iCs/>
                    </w:rPr>
                  </m:ctrlPr>
                </m:e>
                <m:sub>
                  <m:r>
                    <m:rPr>
                      <m:sty m:val="b"/>
                    </m:rPr>
                    <w:rPr>
                      <w:rFonts w:hint="cs" w:ascii="Cambria Math" w:hAnsi="Cambria Math" w:cs="Cambria Math"/>
                      <w:rtl/>
                      <w:lang w:bidi="ar-AE"/>
                    </w:rPr>
                    <m:t>1</m:t>
                  </m:r>
                  <m:ctrlPr>
                    <w:rPr>
                      <w:rFonts w:ascii="Cambria Math" w:hAnsi="Cambria Math"/>
                      <w:b/>
                      <w:bCs/>
                      <w:i/>
                      <w:iCs/>
                    </w:rPr>
                  </m:ctrlPr>
                </m:sub>
              </m:sSub>
              <m:ctrlPr>
                <w:rPr>
                  <w:rFonts w:ascii="Cambria Math" w:hAnsi="Cambria Math"/>
                  <w:b/>
                  <w:bCs/>
                  <w:i/>
                  <w:iCs/>
                </w:rPr>
              </m:ctrlPr>
            </m:num>
            <m:den>
              <m:sSub>
                <m:sSubPr>
                  <m:ctrlPr>
                    <w:rPr>
                      <w:rFonts w:ascii="Cambria Math" w:hAnsi="Cambria Math"/>
                      <w:b/>
                      <w:bCs/>
                      <w:i/>
                      <w:iCs/>
                    </w:rPr>
                  </m:ctrlPr>
                </m:sSubPr>
                <m:e>
                  <m:r>
                    <m:rPr>
                      <m:sty m:val="bi"/>
                    </m:rPr>
                    <w:rPr>
                      <w:rFonts w:hint="eastAsia" w:ascii="Cambria Math" w:hAnsi="Cambria Math"/>
                    </w:rPr>
                    <m:t>σ</m:t>
                  </m:r>
                  <m:ctrlPr>
                    <w:rPr>
                      <w:rFonts w:ascii="Cambria Math" w:hAnsi="Cambria Math"/>
                      <w:b/>
                      <w:bCs/>
                      <w:i/>
                      <w:iCs/>
                    </w:rPr>
                  </m:ctrlPr>
                </m:e>
                <m:sub>
                  <m:sSub>
                    <m:sSubPr>
                      <m:ctrlPr>
                        <w:rPr>
                          <w:rFonts w:ascii="Cambria Math" w:hAnsi="Cambria Math"/>
                          <w:b/>
                          <w:bCs/>
                          <w:i/>
                          <w:iCs/>
                        </w:rPr>
                      </m:ctrlPr>
                    </m:sSubPr>
                    <m:e>
                      <m:r>
                        <m:rPr>
                          <m:sty m:val="bi"/>
                        </m:rPr>
                        <w:rPr>
                          <w:rFonts w:hint="eastAsia" w:ascii="Cambria Math" w:hAnsi="Cambria Math"/>
                        </w:rPr>
                        <m:t>g</m:t>
                      </m:r>
                      <m:ctrlPr>
                        <w:rPr>
                          <w:rFonts w:ascii="Cambria Math" w:hAnsi="Cambria Math"/>
                          <w:b/>
                          <w:bCs/>
                          <w:i/>
                          <w:iCs/>
                        </w:rPr>
                      </m:ctrlPr>
                    </m:e>
                    <m:sub>
                      <m:r>
                        <m:rPr>
                          <m:sty m:val="b"/>
                        </m:rPr>
                        <w:rPr>
                          <w:rFonts w:hint="cs" w:ascii="Cambria Math" w:hAnsi="Cambria Math" w:cs="Cambria Math"/>
                          <w:rtl/>
                          <w:lang w:bidi="ar-AE"/>
                        </w:rPr>
                        <m:t>1</m:t>
                      </m:r>
                      <m:ctrlPr>
                        <w:rPr>
                          <w:rFonts w:ascii="Cambria Math" w:hAnsi="Cambria Math"/>
                          <w:b/>
                          <w:bCs/>
                          <w:i/>
                          <w:iCs/>
                        </w:rPr>
                      </m:ctrlPr>
                    </m:sub>
                  </m:sSub>
                  <m:ctrlPr>
                    <w:rPr>
                      <w:rFonts w:ascii="Cambria Math" w:hAnsi="Cambria Math"/>
                      <w:b/>
                      <w:bCs/>
                      <w:i/>
                      <w:iCs/>
                    </w:rPr>
                  </m:ctrlPr>
                </m:sub>
              </m:sSub>
              <m:ctrlPr>
                <w:rPr>
                  <w:rFonts w:ascii="Cambria Math" w:hAnsi="Cambria Math"/>
                  <w:b/>
                  <w:bCs/>
                  <w:i/>
                  <w:iCs/>
                </w:rPr>
              </m:ctrlPr>
            </m:den>
          </m:f>
          <m:r>
            <m:rPr>
              <m:sty m:val="b"/>
            </m:rPr>
            <w:rPr>
              <w:rFonts w:hint="eastAsia" w:ascii="Cambria Math" w:hAnsi="Cambria Math"/>
              <w:rtl/>
              <w:lang w:bidi="ar-AE"/>
            </w:rPr>
            <m:t>, </m:t>
          </m:r>
          <m:sSub>
            <m:sSubPr>
              <m:ctrlPr>
                <w:rPr>
                  <w:rFonts w:ascii="Cambria Math" w:hAnsi="Cambria Math"/>
                  <w:b/>
                  <w:bCs/>
                  <w:i/>
                  <w:iCs/>
                </w:rPr>
              </m:ctrlPr>
            </m:sSubPr>
            <m:e>
              <m:r>
                <m:rPr>
                  <m:sty m:val="bi"/>
                </m:rPr>
                <w:rPr>
                  <w:rFonts w:hint="eastAsia" w:ascii="Cambria Math" w:hAnsi="Cambria Math"/>
                </w:rPr>
                <m:t>σ</m:t>
              </m:r>
              <m:ctrlPr>
                <w:rPr>
                  <w:rFonts w:ascii="Cambria Math" w:hAnsi="Cambria Math"/>
                  <w:b/>
                  <w:bCs/>
                  <w:i/>
                  <w:iCs/>
                </w:rPr>
              </m:ctrlPr>
            </m:e>
            <m:sub>
              <m:sSub>
                <m:sSubPr>
                  <m:ctrlPr>
                    <w:rPr>
                      <w:rFonts w:ascii="Cambria Math" w:hAnsi="Cambria Math"/>
                      <w:b/>
                      <w:bCs/>
                      <w:i/>
                      <w:iCs/>
                    </w:rPr>
                  </m:ctrlPr>
                </m:sSubPr>
                <m:e>
                  <m:r>
                    <m:rPr>
                      <m:sty m:val="bi"/>
                    </m:rPr>
                    <w:rPr>
                      <w:rFonts w:hint="eastAsia" w:ascii="Cambria Math" w:hAnsi="Cambria Math"/>
                    </w:rPr>
                    <m:t>g</m:t>
                  </m:r>
                  <m:ctrlPr>
                    <w:rPr>
                      <w:rFonts w:ascii="Cambria Math" w:hAnsi="Cambria Math"/>
                      <w:b/>
                      <w:bCs/>
                      <w:i/>
                      <w:iCs/>
                    </w:rPr>
                  </m:ctrlPr>
                </m:e>
                <m:sub>
                  <m:r>
                    <m:rPr>
                      <m:sty m:val="b"/>
                    </m:rPr>
                    <w:rPr>
                      <w:rFonts w:hint="cs" w:ascii="Cambria Math" w:hAnsi="Cambria Math" w:cs="Cambria Math"/>
                      <w:rtl/>
                      <w:lang w:bidi="ar-AE"/>
                    </w:rPr>
                    <m:t>1</m:t>
                  </m:r>
                  <m:ctrlPr>
                    <w:rPr>
                      <w:rFonts w:ascii="Cambria Math" w:hAnsi="Cambria Math"/>
                      <w:b/>
                      <w:bCs/>
                      <w:i/>
                      <w:iCs/>
                    </w:rPr>
                  </m:ctrlPr>
                </m:sub>
              </m:sSub>
              <m:ctrlPr>
                <w:rPr>
                  <w:rFonts w:ascii="Cambria Math" w:hAnsi="Cambria Math"/>
                  <w:b/>
                  <w:bCs/>
                  <w:i/>
                  <w:iCs/>
                </w:rPr>
              </m:ctrlPr>
            </m:sub>
          </m:sSub>
          <m:r>
            <m:rPr>
              <m:sty m:val="b"/>
            </m:rPr>
            <w:rPr>
              <w:rFonts w:hint="eastAsia" w:ascii="Cambria Math" w:hAnsi="Cambria Math"/>
              <w:rtl/>
              <w:lang w:bidi="ar-AE"/>
            </w:rPr>
            <m:t>=</m:t>
          </m:r>
          <m:rad>
            <m:radPr>
              <m:degHide m:val="1"/>
              <m:ctrlPr>
                <w:rPr>
                  <w:rFonts w:ascii="Cambria Math" w:hAnsi="Cambria Math"/>
                  <w:b/>
                  <w:bCs/>
                  <w:i/>
                  <w:iCs/>
                </w:rPr>
              </m:ctrlPr>
            </m:radPr>
            <m:deg>
              <m:ctrlPr>
                <w:rPr>
                  <w:rFonts w:ascii="Cambria Math" w:hAnsi="Cambria Math"/>
                  <w:b/>
                  <w:bCs/>
                  <w:i/>
                  <w:iCs/>
                </w:rPr>
              </m:ctrlPr>
            </m:deg>
            <m:e>
              <m:f>
                <m:fPr>
                  <m:ctrlPr>
                    <w:rPr>
                      <w:rFonts w:ascii="Cambria Math" w:hAnsi="Cambria Math"/>
                      <w:b/>
                      <w:bCs/>
                      <w:i/>
                      <w:iCs/>
                    </w:rPr>
                  </m:ctrlPr>
                </m:fPr>
                <m:num>
                  <m:r>
                    <m:rPr>
                      <m:sty m:val="b"/>
                    </m:rPr>
                    <w:rPr>
                      <w:rFonts w:hint="cs" w:ascii="Cambria Math" w:hAnsi="Cambria Math" w:cs="Cambria Math"/>
                      <w:rtl/>
                      <w:lang w:bidi="ar-AE"/>
                    </w:rPr>
                    <m:t>6</m:t>
                  </m:r>
                  <m:r>
                    <m:rPr>
                      <m:sty m:val="bi"/>
                    </m:rPr>
                    <w:rPr>
                      <w:rFonts w:hint="eastAsia" w:ascii="Cambria Math" w:hAnsi="Cambria Math"/>
                    </w:rPr>
                    <m:t>n</m:t>
                  </m:r>
                  <m:d>
                    <m:dPr>
                      <m:ctrlPr>
                        <w:rPr>
                          <w:rFonts w:ascii="Cambria Math" w:hAnsi="Cambria Math"/>
                          <w:b/>
                          <w:bCs/>
                          <w:i/>
                          <w:iCs/>
                        </w:rPr>
                      </m:ctrlPr>
                    </m:dPr>
                    <m:e>
                      <m:r>
                        <m:rPr>
                          <m:sty m:val="bi"/>
                        </m:rPr>
                        <w:rPr>
                          <w:rFonts w:hint="eastAsia" w:ascii="Cambria Math" w:hAnsi="Cambria Math"/>
                        </w:rPr>
                        <m:t>n</m:t>
                      </m:r>
                      <m:r>
                        <m:rPr>
                          <m:sty m:val="b"/>
                        </m:rPr>
                        <w:rPr>
                          <w:rFonts w:hint="cs" w:ascii="Cambria Math" w:hAnsi="Cambria Math" w:cs="Cambria Math"/>
                          <w:rtl/>
                          <w:lang w:bidi="ar-AE"/>
                        </w:rPr>
                        <m:t>−1</m:t>
                      </m:r>
                      <m:ctrlPr>
                        <w:rPr>
                          <w:rFonts w:ascii="Cambria Math" w:hAnsi="Cambria Math"/>
                          <w:b/>
                          <w:bCs/>
                          <w:i/>
                          <w:iCs/>
                        </w:rPr>
                      </m:ctrlPr>
                    </m:e>
                  </m:d>
                  <m:ctrlPr>
                    <w:rPr>
                      <w:rFonts w:ascii="Cambria Math" w:hAnsi="Cambria Math"/>
                      <w:b/>
                      <w:bCs/>
                      <w:i/>
                      <w:iCs/>
                    </w:rPr>
                  </m:ctrlPr>
                </m:num>
                <m:den>
                  <m:d>
                    <m:dPr>
                      <m:ctrlPr>
                        <w:rPr>
                          <w:rFonts w:ascii="Cambria Math" w:hAnsi="Cambria Math"/>
                          <w:b/>
                          <w:bCs/>
                          <w:i/>
                          <w:iCs/>
                        </w:rPr>
                      </m:ctrlPr>
                    </m:dPr>
                    <m:e>
                      <m:r>
                        <m:rPr>
                          <m:sty m:val="bi"/>
                        </m:rPr>
                        <w:rPr>
                          <w:rFonts w:hint="eastAsia" w:ascii="Cambria Math" w:hAnsi="Cambria Math"/>
                        </w:rPr>
                        <m:t>n</m:t>
                      </m:r>
                      <m:r>
                        <m:rPr>
                          <m:sty m:val="b"/>
                        </m:rPr>
                        <w:rPr>
                          <w:rFonts w:hint="cs" w:ascii="Cambria Math" w:hAnsi="Cambria Math" w:cs="Cambria Math"/>
                          <w:rtl/>
                          <w:lang w:bidi="ar-AE"/>
                        </w:rPr>
                        <m:t>−2</m:t>
                      </m:r>
                      <m:ctrlPr>
                        <w:rPr>
                          <w:rFonts w:ascii="Cambria Math" w:hAnsi="Cambria Math"/>
                          <w:b/>
                          <w:bCs/>
                          <w:i/>
                          <w:iCs/>
                        </w:rPr>
                      </m:ctrlPr>
                    </m:e>
                  </m:d>
                  <m:d>
                    <m:dPr>
                      <m:ctrlPr>
                        <w:rPr>
                          <w:rFonts w:ascii="Cambria Math" w:hAnsi="Cambria Math"/>
                          <w:b/>
                          <w:bCs/>
                          <w:i/>
                          <w:iCs/>
                        </w:rPr>
                      </m:ctrlPr>
                    </m:dPr>
                    <m:e>
                      <m:r>
                        <m:rPr>
                          <m:sty m:val="bi"/>
                        </m:rPr>
                        <w:rPr>
                          <w:rFonts w:hint="eastAsia" w:ascii="Cambria Math" w:hAnsi="Cambria Math"/>
                        </w:rPr>
                        <m:t>n</m:t>
                      </m:r>
                      <m:r>
                        <m:rPr>
                          <m:sty m:val="b"/>
                        </m:rPr>
                        <w:rPr>
                          <w:rFonts w:hint="eastAsia" w:ascii="Cambria Math" w:hAnsi="Cambria Math"/>
                          <w:rtl/>
                          <w:lang w:bidi="ar-AE"/>
                        </w:rPr>
                        <m:t>+</m:t>
                      </m:r>
                      <m:r>
                        <m:rPr>
                          <m:sty m:val="b"/>
                        </m:rPr>
                        <w:rPr>
                          <w:rFonts w:hint="cs" w:ascii="Cambria Math" w:hAnsi="Cambria Math" w:cs="Cambria Math"/>
                          <w:rtl/>
                          <w:lang w:bidi="ar-AE"/>
                        </w:rPr>
                        <m:t>1</m:t>
                      </m:r>
                      <m:ctrlPr>
                        <w:rPr>
                          <w:rFonts w:ascii="Cambria Math" w:hAnsi="Cambria Math"/>
                          <w:b/>
                          <w:bCs/>
                          <w:i/>
                          <w:iCs/>
                        </w:rPr>
                      </m:ctrlPr>
                    </m:e>
                  </m:d>
                  <m:d>
                    <m:dPr>
                      <m:ctrlPr>
                        <w:rPr>
                          <w:rFonts w:ascii="Cambria Math" w:hAnsi="Cambria Math"/>
                          <w:b/>
                          <w:bCs/>
                          <w:i/>
                          <w:iCs/>
                        </w:rPr>
                      </m:ctrlPr>
                    </m:dPr>
                    <m:e>
                      <m:r>
                        <m:rPr>
                          <m:sty m:val="bi"/>
                        </m:rPr>
                        <w:rPr>
                          <w:rFonts w:hint="eastAsia" w:ascii="Cambria Math" w:hAnsi="Cambria Math"/>
                        </w:rPr>
                        <m:t>n</m:t>
                      </m:r>
                      <m:r>
                        <m:rPr>
                          <m:sty m:val="b"/>
                        </m:rPr>
                        <w:rPr>
                          <w:rFonts w:hint="eastAsia" w:ascii="Cambria Math" w:hAnsi="Cambria Math"/>
                          <w:rtl/>
                          <w:lang w:bidi="ar-AE"/>
                        </w:rPr>
                        <m:t>+</m:t>
                      </m:r>
                      <m:r>
                        <m:rPr>
                          <m:sty m:val="b"/>
                        </m:rPr>
                        <w:rPr>
                          <w:rFonts w:hint="cs" w:ascii="Cambria Math" w:hAnsi="Cambria Math" w:cs="Cambria Math"/>
                          <w:rtl/>
                          <w:lang w:bidi="ar-AE"/>
                        </w:rPr>
                        <m:t>3</m:t>
                      </m:r>
                      <m:ctrlPr>
                        <w:rPr>
                          <w:rFonts w:ascii="Cambria Math" w:hAnsi="Cambria Math"/>
                          <w:b/>
                          <w:bCs/>
                          <w:i/>
                          <w:iCs/>
                        </w:rPr>
                      </m:ctrlPr>
                    </m:e>
                  </m:d>
                  <m:ctrlPr>
                    <w:rPr>
                      <w:rFonts w:ascii="Cambria Math" w:hAnsi="Cambria Math"/>
                      <w:b/>
                      <w:bCs/>
                      <w:i/>
                      <w:iCs/>
                    </w:rPr>
                  </m:ctrlPr>
                </m:den>
              </m:f>
              <m:ctrlPr>
                <w:rPr>
                  <w:rFonts w:ascii="Cambria Math" w:hAnsi="Cambria Math"/>
                  <w:b/>
                  <w:bCs/>
                  <w:i/>
                  <w:iCs/>
                </w:rPr>
              </m:ctrlPr>
            </m:e>
          </m:rad>
        </m:oMath>
      </m:oMathPara>
    </w:p>
    <w:p w14:paraId="443E15C3">
      <w:pPr>
        <w:ind w:firstLine="420"/>
      </w:pPr>
      <w:r>
        <w:t>其中，m₂和m₃分别为二阶和三阶中心矩，x̄为样本均值。当g₁ &gt; 0时分布右偏，g₁ &lt; 0时左偏，正态分布g₁ = 0。</w:t>
      </w:r>
    </w:p>
    <w:p w14:paraId="1CD5A585">
      <w:r>
        <w:t>峰度的计算公式为：</w:t>
      </w:r>
    </w:p>
    <w:p w14:paraId="2D877C29">
      <w:pPr>
        <w:rPr>
          <w:b/>
          <w:bCs/>
          <w:iCs/>
        </w:rPr>
      </w:pPr>
      <m:oMathPara>
        <m:oMath>
          <m:sSub>
            <m:sSubPr>
              <m:ctrlPr>
                <w:rPr>
                  <w:rFonts w:ascii="Cambria Math" w:hAnsi="Cambria Math"/>
                  <w:b/>
                  <w:bCs/>
                </w:rPr>
              </m:ctrlPr>
            </m:sSubPr>
            <m:e>
              <m:r>
                <m:rPr>
                  <m:sty m:val="bi"/>
                </m:rPr>
                <w:rPr>
                  <w:rFonts w:hint="eastAsia" w:ascii="Cambria Math" w:hAnsi="Cambria Math"/>
                </w:rPr>
                <m:t>Z</m:t>
              </m:r>
              <m:ctrlPr>
                <w:rPr>
                  <w:rFonts w:ascii="Cambria Math" w:hAnsi="Cambria Math"/>
                  <w:b/>
                  <w:bCs/>
                </w:rPr>
              </m:ctrlPr>
            </m:e>
            <m:sub>
              <m:sSub>
                <m:sSubPr>
                  <m:ctrlPr>
                    <w:rPr>
                      <w:rFonts w:ascii="Cambria Math" w:hAnsi="Cambria Math"/>
                      <w:b/>
                      <w:bCs/>
                      <w:i/>
                      <w:iCs/>
                    </w:rPr>
                  </m:ctrlPr>
                </m:sSubPr>
                <m:e>
                  <m:r>
                    <m:rPr>
                      <m:sty m:val="bi"/>
                    </m:rPr>
                    <w:rPr>
                      <w:rFonts w:hint="eastAsia" w:ascii="Cambria Math" w:hAnsi="Cambria Math"/>
                    </w:rPr>
                    <m:t>g</m:t>
                  </m:r>
                  <m:ctrlPr>
                    <w:rPr>
                      <w:rFonts w:ascii="Cambria Math" w:hAnsi="Cambria Math"/>
                      <w:b/>
                      <w:bCs/>
                      <w:i/>
                      <w:iCs/>
                    </w:rPr>
                  </m:ctrlPr>
                </m:e>
                <m:sub>
                  <m:r>
                    <m:rPr>
                      <m:sty m:val="b"/>
                    </m:rPr>
                    <w:rPr>
                      <w:rFonts w:hint="cs" w:ascii="Cambria Math" w:hAnsi="Cambria Math" w:cs="Cambria Math"/>
                      <w:rtl/>
                      <w:lang w:bidi="ar-AE"/>
                    </w:rPr>
                    <m:t>2</m:t>
                  </m:r>
                  <m:ctrlPr>
                    <w:rPr>
                      <w:rFonts w:ascii="Cambria Math" w:hAnsi="Cambria Math"/>
                      <w:b/>
                      <w:bCs/>
                      <w:i/>
                      <w:iCs/>
                    </w:rPr>
                  </m:ctrlPr>
                </m:sub>
              </m:sSub>
              <m:ctrlPr>
                <w:rPr>
                  <w:rFonts w:ascii="Cambria Math" w:hAnsi="Cambria Math"/>
                  <w:b/>
                  <w:bCs/>
                </w:rPr>
              </m:ctrlPr>
            </m:sub>
          </m:sSub>
          <m:r>
            <m:rPr>
              <m:sty m:val="b"/>
            </m:rPr>
            <w:rPr>
              <w:rFonts w:hint="eastAsia" w:ascii="Cambria Math" w:hAnsi="Cambria Math"/>
              <w:rtl/>
              <w:lang w:bidi="ar-AE"/>
            </w:rPr>
            <m:t>=</m:t>
          </m:r>
          <m:f>
            <m:fPr>
              <m:ctrlPr>
                <w:rPr>
                  <w:rFonts w:ascii="Cambria Math" w:hAnsi="Cambria Math"/>
                  <w:b/>
                  <w:bCs/>
                  <w:i/>
                  <w:iCs/>
                </w:rPr>
              </m:ctrlPr>
            </m:fPr>
            <m:num>
              <m:sSub>
                <m:sSubPr>
                  <m:ctrlPr>
                    <w:rPr>
                      <w:rFonts w:ascii="Cambria Math" w:hAnsi="Cambria Math"/>
                      <w:b/>
                      <w:bCs/>
                      <w:i/>
                      <w:iCs/>
                    </w:rPr>
                  </m:ctrlPr>
                </m:sSubPr>
                <m:e>
                  <m:r>
                    <m:rPr>
                      <m:sty m:val="bi"/>
                    </m:rPr>
                    <w:rPr>
                      <w:rFonts w:hint="eastAsia" w:ascii="Cambria Math" w:hAnsi="Cambria Math"/>
                    </w:rPr>
                    <m:t>g</m:t>
                  </m:r>
                  <m:ctrlPr>
                    <w:rPr>
                      <w:rFonts w:ascii="Cambria Math" w:hAnsi="Cambria Math"/>
                      <w:b/>
                      <w:bCs/>
                      <w:i/>
                      <w:iCs/>
                    </w:rPr>
                  </m:ctrlPr>
                </m:e>
                <m:sub>
                  <m:r>
                    <m:rPr>
                      <m:sty m:val="b"/>
                    </m:rPr>
                    <w:rPr>
                      <w:rFonts w:hint="cs" w:ascii="Cambria Math" w:hAnsi="Cambria Math" w:cs="Cambria Math"/>
                      <w:rtl/>
                      <w:lang w:bidi="ar-AE"/>
                    </w:rPr>
                    <m:t>2</m:t>
                  </m:r>
                  <m:ctrlPr>
                    <w:rPr>
                      <w:rFonts w:ascii="Cambria Math" w:hAnsi="Cambria Math"/>
                      <w:b/>
                      <w:bCs/>
                      <w:i/>
                      <w:iCs/>
                    </w:rPr>
                  </m:ctrlPr>
                </m:sub>
              </m:sSub>
              <m:ctrlPr>
                <w:rPr>
                  <w:rFonts w:ascii="Cambria Math" w:hAnsi="Cambria Math"/>
                  <w:b/>
                  <w:bCs/>
                  <w:i/>
                  <w:iCs/>
                </w:rPr>
              </m:ctrlPr>
            </m:num>
            <m:den>
              <m:sSub>
                <m:sSubPr>
                  <m:ctrlPr>
                    <w:rPr>
                      <w:rFonts w:ascii="Cambria Math" w:hAnsi="Cambria Math"/>
                      <w:b/>
                      <w:bCs/>
                      <w:i/>
                      <w:iCs/>
                    </w:rPr>
                  </m:ctrlPr>
                </m:sSubPr>
                <m:e>
                  <m:r>
                    <m:rPr>
                      <m:sty m:val="bi"/>
                    </m:rPr>
                    <w:rPr>
                      <w:rFonts w:hint="eastAsia" w:ascii="Cambria Math" w:hAnsi="Cambria Math"/>
                    </w:rPr>
                    <m:t>σ</m:t>
                  </m:r>
                  <m:ctrlPr>
                    <w:rPr>
                      <w:rFonts w:ascii="Cambria Math" w:hAnsi="Cambria Math"/>
                      <w:b/>
                      <w:bCs/>
                      <w:i/>
                      <w:iCs/>
                    </w:rPr>
                  </m:ctrlPr>
                </m:e>
                <m:sub>
                  <m:sSub>
                    <m:sSubPr>
                      <m:ctrlPr>
                        <w:rPr>
                          <w:rFonts w:ascii="Cambria Math" w:hAnsi="Cambria Math"/>
                          <w:b/>
                          <w:bCs/>
                          <w:i/>
                          <w:iCs/>
                        </w:rPr>
                      </m:ctrlPr>
                    </m:sSubPr>
                    <m:e>
                      <m:r>
                        <m:rPr>
                          <m:sty m:val="bi"/>
                        </m:rPr>
                        <w:rPr>
                          <w:rFonts w:hint="eastAsia" w:ascii="Cambria Math" w:hAnsi="Cambria Math"/>
                        </w:rPr>
                        <m:t>g</m:t>
                      </m:r>
                      <m:ctrlPr>
                        <w:rPr>
                          <w:rFonts w:ascii="Cambria Math" w:hAnsi="Cambria Math"/>
                          <w:b/>
                          <w:bCs/>
                          <w:i/>
                          <w:iCs/>
                        </w:rPr>
                      </m:ctrlPr>
                    </m:e>
                    <m:sub>
                      <m:r>
                        <m:rPr>
                          <m:sty m:val="b"/>
                        </m:rPr>
                        <w:rPr>
                          <w:rFonts w:hint="cs" w:ascii="Cambria Math" w:hAnsi="Cambria Math" w:cs="Cambria Math"/>
                          <w:rtl/>
                          <w:lang w:bidi="ar-AE"/>
                        </w:rPr>
                        <m:t>2</m:t>
                      </m:r>
                      <m:ctrlPr>
                        <w:rPr>
                          <w:rFonts w:ascii="Cambria Math" w:hAnsi="Cambria Math"/>
                          <w:b/>
                          <w:bCs/>
                          <w:i/>
                          <w:iCs/>
                        </w:rPr>
                      </m:ctrlPr>
                    </m:sub>
                  </m:sSub>
                  <m:ctrlPr>
                    <w:rPr>
                      <w:rFonts w:ascii="Cambria Math" w:hAnsi="Cambria Math"/>
                      <w:b/>
                      <w:bCs/>
                      <w:i/>
                      <w:iCs/>
                    </w:rPr>
                  </m:ctrlPr>
                </m:sub>
              </m:sSub>
              <m:ctrlPr>
                <w:rPr>
                  <w:rFonts w:ascii="Cambria Math" w:hAnsi="Cambria Math"/>
                  <w:b/>
                  <w:bCs/>
                  <w:i/>
                  <w:iCs/>
                </w:rPr>
              </m:ctrlPr>
            </m:den>
          </m:f>
          <m:r>
            <m:rPr>
              <m:sty m:val="b"/>
            </m:rPr>
            <w:rPr>
              <w:rFonts w:hint="eastAsia" w:ascii="Cambria Math" w:hAnsi="Cambria Math"/>
              <w:rtl/>
              <w:lang w:bidi="ar-AE"/>
            </w:rPr>
            <m:t>, </m:t>
          </m:r>
          <m:sSub>
            <m:sSubPr>
              <m:ctrlPr>
                <w:rPr>
                  <w:rFonts w:ascii="Cambria Math" w:hAnsi="Cambria Math"/>
                  <w:b/>
                  <w:bCs/>
                  <w:i/>
                  <w:iCs/>
                </w:rPr>
              </m:ctrlPr>
            </m:sSubPr>
            <m:e>
              <m:r>
                <m:rPr>
                  <m:sty m:val="bi"/>
                </m:rPr>
                <w:rPr>
                  <w:rFonts w:hint="eastAsia" w:ascii="Cambria Math" w:hAnsi="Cambria Math"/>
                </w:rPr>
                <m:t>σ</m:t>
              </m:r>
              <m:ctrlPr>
                <w:rPr>
                  <w:rFonts w:ascii="Cambria Math" w:hAnsi="Cambria Math"/>
                  <w:b/>
                  <w:bCs/>
                  <w:i/>
                  <w:iCs/>
                </w:rPr>
              </m:ctrlPr>
            </m:e>
            <m:sub>
              <m:sSub>
                <m:sSubPr>
                  <m:ctrlPr>
                    <w:rPr>
                      <w:rFonts w:ascii="Cambria Math" w:hAnsi="Cambria Math"/>
                      <w:b/>
                      <w:bCs/>
                      <w:i/>
                      <w:iCs/>
                    </w:rPr>
                  </m:ctrlPr>
                </m:sSubPr>
                <m:e>
                  <m:r>
                    <m:rPr>
                      <m:sty m:val="bi"/>
                    </m:rPr>
                    <w:rPr>
                      <w:rFonts w:hint="eastAsia" w:ascii="Cambria Math" w:hAnsi="Cambria Math"/>
                    </w:rPr>
                    <m:t>g</m:t>
                  </m:r>
                  <m:ctrlPr>
                    <w:rPr>
                      <w:rFonts w:ascii="Cambria Math" w:hAnsi="Cambria Math"/>
                      <w:b/>
                      <w:bCs/>
                      <w:i/>
                      <w:iCs/>
                    </w:rPr>
                  </m:ctrlPr>
                </m:e>
                <m:sub>
                  <m:r>
                    <m:rPr>
                      <m:sty m:val="b"/>
                    </m:rPr>
                    <w:rPr>
                      <w:rFonts w:hint="cs" w:ascii="Cambria Math" w:hAnsi="Cambria Math" w:cs="Cambria Math"/>
                      <w:rtl/>
                      <w:lang w:bidi="ar-AE"/>
                    </w:rPr>
                    <m:t>2</m:t>
                  </m:r>
                  <m:ctrlPr>
                    <w:rPr>
                      <w:rFonts w:ascii="Cambria Math" w:hAnsi="Cambria Math"/>
                      <w:b/>
                      <w:bCs/>
                      <w:i/>
                      <w:iCs/>
                    </w:rPr>
                  </m:ctrlPr>
                </m:sub>
              </m:sSub>
              <m:ctrlPr>
                <w:rPr>
                  <w:rFonts w:ascii="Cambria Math" w:hAnsi="Cambria Math"/>
                  <w:b/>
                  <w:bCs/>
                  <w:i/>
                  <w:iCs/>
                </w:rPr>
              </m:ctrlPr>
            </m:sub>
          </m:sSub>
          <m:r>
            <m:rPr>
              <m:sty m:val="b"/>
            </m:rPr>
            <w:rPr>
              <w:rFonts w:hint="eastAsia" w:ascii="Cambria Math" w:hAnsi="Cambria Math"/>
              <w:rtl/>
              <w:lang w:bidi="ar-AE"/>
            </w:rPr>
            <m:t>=</m:t>
          </m:r>
          <m:rad>
            <m:radPr>
              <m:degHide m:val="1"/>
              <m:ctrlPr>
                <w:rPr>
                  <w:rFonts w:ascii="Cambria Math" w:hAnsi="Cambria Math"/>
                  <w:b/>
                  <w:bCs/>
                  <w:i/>
                  <w:iCs/>
                </w:rPr>
              </m:ctrlPr>
            </m:radPr>
            <m:deg>
              <m:ctrlPr>
                <w:rPr>
                  <w:rFonts w:ascii="Cambria Math" w:hAnsi="Cambria Math"/>
                  <w:b/>
                  <w:bCs/>
                  <w:i/>
                  <w:iCs/>
                </w:rPr>
              </m:ctrlPr>
            </m:deg>
            <m:e>
              <m:f>
                <m:fPr>
                  <m:ctrlPr>
                    <w:rPr>
                      <w:rFonts w:ascii="Cambria Math" w:hAnsi="Cambria Math"/>
                      <w:b/>
                      <w:bCs/>
                      <w:i/>
                      <w:iCs/>
                    </w:rPr>
                  </m:ctrlPr>
                </m:fPr>
                <m:num>
                  <m:r>
                    <m:rPr>
                      <m:sty m:val="b"/>
                    </m:rPr>
                    <w:rPr>
                      <w:rFonts w:hint="cs" w:ascii="Cambria Math" w:hAnsi="Cambria Math" w:cs="Cambria Math"/>
                      <w:rtl/>
                      <w:lang w:bidi="ar-AE"/>
                    </w:rPr>
                    <m:t>24</m:t>
                  </m:r>
                  <m:r>
                    <m:rPr>
                      <m:sty m:val="bi"/>
                    </m:rPr>
                    <w:rPr>
                      <w:rFonts w:hint="eastAsia" w:ascii="Cambria Math" w:hAnsi="Cambria Math"/>
                    </w:rPr>
                    <m:t>n</m:t>
                  </m:r>
                  <m:d>
                    <m:dPr>
                      <m:endChr m:val=""/>
                      <m:ctrlPr>
                        <w:rPr>
                          <w:rFonts w:ascii="Cambria Math" w:hAnsi="Cambria Math"/>
                          <w:b/>
                          <w:bCs/>
                          <w:i/>
                          <w:iCs/>
                        </w:rPr>
                      </m:ctrlPr>
                    </m:dPr>
                    <m:e>
                      <m:r>
                        <m:rPr>
                          <m:sty m:val="bi"/>
                        </m:rPr>
                        <w:rPr>
                          <w:rFonts w:hint="eastAsia" w:ascii="Cambria Math" w:hAnsi="Cambria Math"/>
                        </w:rPr>
                        <m:t>n</m:t>
                      </m:r>
                      <m:r>
                        <m:rPr>
                          <m:sty m:val="b"/>
                        </m:rPr>
                        <w:rPr>
                          <w:rFonts w:hint="cs" w:ascii="Cambria Math" w:hAnsi="Cambria Math" w:cs="Cambria Math"/>
                          <w:rtl/>
                          <w:lang w:bidi="ar-AE"/>
                        </w:rPr>
                        <m:t>−1</m:t>
                      </m:r>
                      <m:sSup>
                        <m:sSupPr>
                          <m:ctrlPr>
                            <w:rPr>
                              <w:rFonts w:ascii="Cambria Math" w:hAnsi="Cambria Math"/>
                              <w:b/>
                              <w:bCs/>
                              <w:i/>
                              <w:iCs/>
                            </w:rPr>
                          </m:ctrlPr>
                        </m:sSupPr>
                        <m:e>
                          <m:d>
                            <m:dPr>
                              <m:begChr m:val=""/>
                              <m:endChr m:val=""/>
                              <m:ctrlPr>
                                <w:rPr>
                                  <w:rFonts w:ascii="Cambria Math" w:hAnsi="Cambria Math"/>
                                  <w:b/>
                                  <w:bCs/>
                                  <w:i/>
                                  <w:iCs/>
                                </w:rPr>
                              </m:ctrlPr>
                            </m:dPr>
                            <m:e>
                              <m:r>
                                <m:rPr>
                                  <m:sty m:val="b"/>
                                </m:rPr>
                                <w:rPr>
                                  <w:rFonts w:hint="eastAsia" w:ascii="Cambria Math" w:hAnsi="Cambria Math"/>
                                  <w:rtl/>
                                  <w:lang w:bidi="ar-AE"/>
                                </w:rPr>
                                <m:t>)</m:t>
                              </m:r>
                              <m:ctrlPr>
                                <w:rPr>
                                  <w:rFonts w:ascii="Cambria Math" w:hAnsi="Cambria Math"/>
                                  <w:b/>
                                  <w:bCs/>
                                  <w:i/>
                                  <w:iCs/>
                                </w:rPr>
                              </m:ctrlPr>
                            </m:e>
                          </m:d>
                          <m:ctrlPr>
                            <w:rPr>
                              <w:rFonts w:ascii="Cambria Math" w:hAnsi="Cambria Math"/>
                              <w:b/>
                              <w:bCs/>
                              <w:i/>
                              <w:iCs/>
                            </w:rPr>
                          </m:ctrlPr>
                        </m:e>
                        <m:sup>
                          <m:r>
                            <m:rPr>
                              <m:sty m:val="b"/>
                            </m:rPr>
                            <w:rPr>
                              <w:rFonts w:hint="cs" w:ascii="Cambria Math" w:hAnsi="Cambria Math" w:cs="Cambria Math"/>
                              <w:rtl/>
                              <w:lang w:bidi="ar-AE"/>
                            </w:rPr>
                            <m:t>2</m:t>
                          </m:r>
                          <m:ctrlPr>
                            <w:rPr>
                              <w:rFonts w:ascii="Cambria Math" w:hAnsi="Cambria Math"/>
                              <w:b/>
                              <w:bCs/>
                              <w:i/>
                              <w:iCs/>
                            </w:rPr>
                          </m:ctrlPr>
                        </m:sup>
                      </m:sSup>
                      <m:ctrlPr>
                        <w:rPr>
                          <w:rFonts w:ascii="Cambria Math" w:hAnsi="Cambria Math"/>
                          <w:b/>
                          <w:bCs/>
                          <w:i/>
                          <w:iCs/>
                        </w:rPr>
                      </m:ctrlPr>
                    </m:e>
                  </m:d>
                  <m:ctrlPr>
                    <w:rPr>
                      <w:rFonts w:ascii="Cambria Math" w:hAnsi="Cambria Math"/>
                      <w:b/>
                      <w:bCs/>
                      <w:i/>
                      <w:iCs/>
                    </w:rPr>
                  </m:ctrlPr>
                </m:num>
                <m:den>
                  <m:d>
                    <m:dPr>
                      <m:ctrlPr>
                        <w:rPr>
                          <w:rFonts w:ascii="Cambria Math" w:hAnsi="Cambria Math"/>
                          <w:b/>
                          <w:bCs/>
                          <w:i/>
                          <w:iCs/>
                        </w:rPr>
                      </m:ctrlPr>
                    </m:dPr>
                    <m:e>
                      <m:r>
                        <m:rPr>
                          <m:sty m:val="bi"/>
                        </m:rPr>
                        <w:rPr>
                          <w:rFonts w:hint="eastAsia" w:ascii="Cambria Math" w:hAnsi="Cambria Math"/>
                        </w:rPr>
                        <m:t>n</m:t>
                      </m:r>
                      <m:r>
                        <m:rPr>
                          <m:sty m:val="b"/>
                        </m:rPr>
                        <w:rPr>
                          <w:rFonts w:hint="cs" w:ascii="Cambria Math" w:hAnsi="Cambria Math" w:cs="Cambria Math"/>
                          <w:rtl/>
                          <w:lang w:bidi="ar-AE"/>
                        </w:rPr>
                        <m:t>−3</m:t>
                      </m:r>
                      <m:ctrlPr>
                        <w:rPr>
                          <w:rFonts w:ascii="Cambria Math" w:hAnsi="Cambria Math"/>
                          <w:b/>
                          <w:bCs/>
                          <w:i/>
                          <w:iCs/>
                        </w:rPr>
                      </m:ctrlPr>
                    </m:e>
                  </m:d>
                  <m:d>
                    <m:dPr>
                      <m:ctrlPr>
                        <w:rPr>
                          <w:rFonts w:ascii="Cambria Math" w:hAnsi="Cambria Math"/>
                          <w:b/>
                          <w:bCs/>
                          <w:i/>
                          <w:iCs/>
                        </w:rPr>
                      </m:ctrlPr>
                    </m:dPr>
                    <m:e>
                      <m:r>
                        <m:rPr>
                          <m:sty m:val="bi"/>
                        </m:rPr>
                        <w:rPr>
                          <w:rFonts w:hint="eastAsia" w:ascii="Cambria Math" w:hAnsi="Cambria Math"/>
                        </w:rPr>
                        <m:t>n</m:t>
                      </m:r>
                      <m:r>
                        <m:rPr>
                          <m:sty m:val="b"/>
                        </m:rPr>
                        <w:rPr>
                          <w:rFonts w:hint="cs" w:ascii="Cambria Math" w:hAnsi="Cambria Math" w:cs="Cambria Math"/>
                          <w:rtl/>
                          <w:lang w:bidi="ar-AE"/>
                        </w:rPr>
                        <m:t>−2</m:t>
                      </m:r>
                      <m:ctrlPr>
                        <w:rPr>
                          <w:rFonts w:ascii="Cambria Math" w:hAnsi="Cambria Math"/>
                          <w:b/>
                          <w:bCs/>
                          <w:i/>
                          <w:iCs/>
                        </w:rPr>
                      </m:ctrlPr>
                    </m:e>
                  </m:d>
                  <m:d>
                    <m:dPr>
                      <m:ctrlPr>
                        <w:rPr>
                          <w:rFonts w:ascii="Cambria Math" w:hAnsi="Cambria Math"/>
                          <w:b/>
                          <w:bCs/>
                          <w:i/>
                          <w:iCs/>
                        </w:rPr>
                      </m:ctrlPr>
                    </m:dPr>
                    <m:e>
                      <m:r>
                        <m:rPr>
                          <m:sty m:val="bi"/>
                        </m:rPr>
                        <w:rPr>
                          <w:rFonts w:hint="eastAsia" w:ascii="Cambria Math" w:hAnsi="Cambria Math"/>
                        </w:rPr>
                        <m:t>n</m:t>
                      </m:r>
                      <m:r>
                        <m:rPr>
                          <m:sty m:val="b"/>
                        </m:rPr>
                        <w:rPr>
                          <w:rFonts w:hint="eastAsia" w:ascii="Cambria Math" w:hAnsi="Cambria Math"/>
                          <w:rtl/>
                          <w:lang w:bidi="ar-AE"/>
                        </w:rPr>
                        <m:t>+</m:t>
                      </m:r>
                      <m:r>
                        <m:rPr>
                          <m:sty m:val="b"/>
                        </m:rPr>
                        <w:rPr>
                          <w:rFonts w:hint="cs" w:ascii="Cambria Math" w:hAnsi="Cambria Math" w:cs="Cambria Math"/>
                          <w:rtl/>
                          <w:lang w:bidi="ar-AE"/>
                        </w:rPr>
                        <m:t>3</m:t>
                      </m:r>
                      <m:ctrlPr>
                        <w:rPr>
                          <w:rFonts w:ascii="Cambria Math" w:hAnsi="Cambria Math"/>
                          <w:b/>
                          <w:bCs/>
                          <w:i/>
                          <w:iCs/>
                        </w:rPr>
                      </m:ctrlPr>
                    </m:e>
                  </m:d>
                  <m:d>
                    <m:dPr>
                      <m:ctrlPr>
                        <w:rPr>
                          <w:rFonts w:ascii="Cambria Math" w:hAnsi="Cambria Math"/>
                          <w:b/>
                          <w:bCs/>
                          <w:i/>
                          <w:iCs/>
                        </w:rPr>
                      </m:ctrlPr>
                    </m:dPr>
                    <m:e>
                      <m:r>
                        <m:rPr>
                          <m:sty m:val="bi"/>
                        </m:rPr>
                        <w:rPr>
                          <w:rFonts w:hint="eastAsia" w:ascii="Cambria Math" w:hAnsi="Cambria Math"/>
                        </w:rPr>
                        <m:t>n</m:t>
                      </m:r>
                      <m:r>
                        <m:rPr>
                          <m:sty m:val="b"/>
                        </m:rPr>
                        <w:rPr>
                          <w:rFonts w:hint="eastAsia" w:ascii="Cambria Math" w:hAnsi="Cambria Math"/>
                          <w:rtl/>
                          <w:lang w:bidi="ar-AE"/>
                        </w:rPr>
                        <m:t>+</m:t>
                      </m:r>
                      <m:r>
                        <m:rPr>
                          <m:sty m:val="b"/>
                        </m:rPr>
                        <w:rPr>
                          <w:rFonts w:hint="cs" w:ascii="Cambria Math" w:hAnsi="Cambria Math" w:cs="Cambria Math"/>
                          <w:rtl/>
                          <w:lang w:bidi="ar-AE"/>
                        </w:rPr>
                        <m:t>5</m:t>
                      </m:r>
                      <m:ctrlPr>
                        <w:rPr>
                          <w:rFonts w:ascii="Cambria Math" w:hAnsi="Cambria Math"/>
                          <w:b/>
                          <w:bCs/>
                          <w:i/>
                          <w:iCs/>
                        </w:rPr>
                      </m:ctrlPr>
                    </m:e>
                  </m:d>
                  <m:ctrlPr>
                    <w:rPr>
                      <w:rFonts w:ascii="Cambria Math" w:hAnsi="Cambria Math"/>
                      <w:b/>
                      <w:bCs/>
                      <w:i/>
                      <w:iCs/>
                    </w:rPr>
                  </m:ctrlPr>
                </m:den>
              </m:f>
              <m:ctrlPr>
                <w:rPr>
                  <w:rFonts w:ascii="Cambria Math" w:hAnsi="Cambria Math"/>
                  <w:b/>
                  <w:bCs/>
                  <w:i/>
                  <w:iCs/>
                </w:rPr>
              </m:ctrlPr>
            </m:e>
          </m:rad>
        </m:oMath>
      </m:oMathPara>
    </w:p>
    <w:p w14:paraId="5A154EE2">
      <w:r>
        <w:t>减去3使得正态分布的超额峰度为0。峰度大于0表示尖峰厚尾，小于0表示平峰薄尾。</w:t>
      </w:r>
    </w:p>
    <w:p w14:paraId="266986A8">
      <w:pPr>
        <w:keepNext/>
        <w:jc w:val="center"/>
      </w:pPr>
      <w:r>
        <w:rPr>
          <w:rFonts w:hint="eastAsia"/>
        </w:rPr>
        <w:drawing>
          <wp:inline distT="0" distB="0" distL="0" distR="0">
            <wp:extent cx="6482080" cy="4279900"/>
            <wp:effectExtent l="0" t="0" r="0" b="6350"/>
            <wp:docPr id="4236989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9895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495371" cy="4288611"/>
                    </a:xfrm>
                    <a:prstGeom prst="rect">
                      <a:avLst/>
                    </a:prstGeom>
                  </pic:spPr>
                </pic:pic>
              </a:graphicData>
            </a:graphic>
          </wp:inline>
        </w:drawing>
      </w:r>
    </w:p>
    <w:p w14:paraId="4CE6D2AB">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4</w:t>
      </w:r>
      <w:r>
        <w:fldChar w:fldCharType="end"/>
      </w:r>
      <w:r>
        <w:rPr>
          <w:rFonts w:hint="eastAsia"/>
        </w:rPr>
        <w:t>正态性检验结果图</w:t>
      </w:r>
    </w:p>
    <w:p w14:paraId="4C8A0829">
      <w:pPr>
        <w:pStyle w:val="6"/>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3</w:t>
      </w:r>
      <w:r>
        <w:fldChar w:fldCharType="end"/>
      </w:r>
      <w:r>
        <w:rPr>
          <w:rFonts w:hint="eastAsia"/>
        </w:rPr>
        <w:t>正态性检验统计表</w:t>
      </w:r>
    </w:p>
    <w:tbl>
      <w:tblPr>
        <w:tblStyle w:val="16"/>
        <w:tblW w:w="0" w:type="auto"/>
        <w:jc w:val="center"/>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Layout w:type="autofit"/>
        <w:tblCellMar>
          <w:top w:w="15" w:type="dxa"/>
          <w:left w:w="15" w:type="dxa"/>
          <w:bottom w:w="15" w:type="dxa"/>
          <w:right w:w="15" w:type="dxa"/>
        </w:tblCellMar>
      </w:tblPr>
      <w:tblGrid>
        <w:gridCol w:w="2640"/>
        <w:gridCol w:w="1440"/>
        <w:gridCol w:w="1440"/>
      </w:tblGrid>
      <w:tr w14:paraId="4916116A">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4906E8C3">
            <w:pPr>
              <w:tabs>
                <w:tab w:val="left" w:pos="720"/>
              </w:tabs>
              <w:ind w:firstLine="420"/>
              <w:jc w:val="center"/>
              <w:rPr>
                <w:rFonts w:ascii="宋体" w:hAnsi="宋体"/>
              </w:rPr>
            </w:pPr>
            <w:r>
              <w:rPr>
                <w:rFonts w:ascii="宋体" w:hAnsi="宋体"/>
              </w:rPr>
              <w:t>统计量</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291C5C1B">
            <w:pPr>
              <w:tabs>
                <w:tab w:val="left" w:pos="720"/>
              </w:tabs>
              <w:ind w:firstLine="420"/>
              <w:jc w:val="center"/>
              <w:rPr>
                <w:rFonts w:ascii="宋体" w:hAnsi="宋体"/>
              </w:rPr>
            </w:pPr>
            <w:r>
              <w:rPr>
                <w:rFonts w:ascii="宋体" w:hAnsi="宋体"/>
              </w:rPr>
              <w:t>训练集</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4006346D">
            <w:pPr>
              <w:tabs>
                <w:tab w:val="left" w:pos="720"/>
              </w:tabs>
              <w:ind w:firstLine="420"/>
              <w:jc w:val="center"/>
              <w:rPr>
                <w:rFonts w:ascii="宋体" w:hAnsi="宋体"/>
              </w:rPr>
            </w:pPr>
            <w:r>
              <w:rPr>
                <w:rFonts w:ascii="宋体" w:hAnsi="宋体"/>
              </w:rPr>
              <w:t>测试集</w:t>
            </w:r>
          </w:p>
        </w:tc>
      </w:tr>
      <w:tr w14:paraId="203B45EB">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6EA6E4D9">
            <w:pPr>
              <w:tabs>
                <w:tab w:val="left" w:pos="720"/>
              </w:tabs>
              <w:ind w:firstLine="420"/>
              <w:jc w:val="center"/>
              <w:rPr>
                <w:rFonts w:ascii="宋体" w:hAnsi="宋体"/>
              </w:rPr>
            </w:pPr>
            <w:r>
              <w:rPr>
                <w:rFonts w:ascii="宋体" w:hAnsi="宋体"/>
              </w:rPr>
              <w:t>样本量 (n)</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13A654C4">
            <w:pPr>
              <w:tabs>
                <w:tab w:val="left" w:pos="720"/>
              </w:tabs>
              <w:jc w:val="center"/>
              <w:rPr>
                <w:rFonts w:ascii="宋体" w:hAnsi="宋体"/>
              </w:rPr>
            </w:pPr>
            <w:r>
              <w:rPr>
                <w:rFonts w:ascii="宋体" w:hAnsi="宋体"/>
              </w:rPr>
              <w:t>49568</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6F0EA776">
            <w:pPr>
              <w:tabs>
                <w:tab w:val="left" w:pos="720"/>
              </w:tabs>
              <w:jc w:val="center"/>
              <w:rPr>
                <w:rFonts w:ascii="宋体" w:hAnsi="宋体"/>
              </w:rPr>
            </w:pPr>
            <w:r>
              <w:rPr>
                <w:rFonts w:ascii="宋体" w:hAnsi="宋体"/>
              </w:rPr>
              <w:t>12391</w:t>
            </w:r>
          </w:p>
        </w:tc>
      </w:tr>
      <w:tr w14:paraId="5CDC678A">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1CF5F927">
            <w:pPr>
              <w:tabs>
                <w:tab w:val="left" w:pos="720"/>
              </w:tabs>
              <w:ind w:firstLine="420"/>
              <w:jc w:val="center"/>
              <w:rPr>
                <w:rFonts w:ascii="宋体" w:hAnsi="宋体"/>
              </w:rPr>
            </w:pPr>
            <w:r>
              <w:rPr>
                <w:rFonts w:ascii="宋体" w:hAnsi="宋体"/>
              </w:rPr>
              <w:t>均值 (mean)</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23640A29">
            <w:pPr>
              <w:tabs>
                <w:tab w:val="left" w:pos="720"/>
              </w:tabs>
              <w:jc w:val="center"/>
              <w:rPr>
                <w:rFonts w:ascii="宋体" w:hAnsi="宋体"/>
              </w:rPr>
            </w:pPr>
            <w:r>
              <w:rPr>
                <w:rFonts w:ascii="宋体" w:hAnsi="宋体"/>
              </w:rPr>
              <w:t>57.8304</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4FE69B30">
            <w:pPr>
              <w:tabs>
                <w:tab w:val="left" w:pos="720"/>
              </w:tabs>
              <w:jc w:val="center"/>
              <w:rPr>
                <w:rFonts w:ascii="宋体" w:hAnsi="宋体"/>
              </w:rPr>
            </w:pPr>
            <w:r>
              <w:rPr>
                <w:rFonts w:ascii="宋体" w:hAnsi="宋体"/>
              </w:rPr>
              <w:t>58.4446</w:t>
            </w:r>
          </w:p>
        </w:tc>
      </w:tr>
      <w:tr w14:paraId="42217BFA">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0E7CF094">
            <w:pPr>
              <w:tabs>
                <w:tab w:val="left" w:pos="720"/>
              </w:tabs>
              <w:ind w:firstLine="420"/>
              <w:jc w:val="center"/>
              <w:rPr>
                <w:rFonts w:ascii="宋体" w:hAnsi="宋体"/>
              </w:rPr>
            </w:pPr>
            <w:r>
              <w:rPr>
                <w:rFonts w:ascii="宋体" w:hAnsi="宋体"/>
              </w:rPr>
              <w:t>标准差 (std)</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6A261044">
            <w:pPr>
              <w:tabs>
                <w:tab w:val="left" w:pos="720"/>
              </w:tabs>
              <w:jc w:val="center"/>
              <w:rPr>
                <w:rFonts w:ascii="宋体" w:hAnsi="宋体"/>
              </w:rPr>
            </w:pPr>
            <w:r>
              <w:rPr>
                <w:rFonts w:ascii="宋体" w:hAnsi="宋体"/>
              </w:rPr>
              <w:t>77.2635</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514AEAE0">
            <w:pPr>
              <w:tabs>
                <w:tab w:val="left" w:pos="720"/>
              </w:tabs>
              <w:jc w:val="center"/>
              <w:rPr>
                <w:rFonts w:ascii="宋体" w:hAnsi="宋体"/>
              </w:rPr>
            </w:pPr>
            <w:r>
              <w:rPr>
                <w:rFonts w:ascii="宋体" w:hAnsi="宋体"/>
              </w:rPr>
              <w:t>82.8797</w:t>
            </w:r>
          </w:p>
        </w:tc>
      </w:tr>
      <w:tr w14:paraId="14B5554C">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199DEF2E">
            <w:pPr>
              <w:tabs>
                <w:tab w:val="left" w:pos="720"/>
              </w:tabs>
              <w:ind w:firstLine="420"/>
              <w:jc w:val="center"/>
              <w:rPr>
                <w:rFonts w:ascii="宋体" w:hAnsi="宋体"/>
              </w:rPr>
            </w:pPr>
            <w:r>
              <w:rPr>
                <w:rFonts w:ascii="宋体" w:hAnsi="宋体"/>
              </w:rPr>
              <w:t>偏度 (skewness)</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5AED6484">
            <w:pPr>
              <w:tabs>
                <w:tab w:val="left" w:pos="720"/>
              </w:tabs>
              <w:jc w:val="center"/>
              <w:rPr>
                <w:rFonts w:ascii="宋体" w:hAnsi="宋体"/>
              </w:rPr>
            </w:pPr>
            <w:r>
              <w:rPr>
                <w:rFonts w:ascii="宋体" w:hAnsi="宋体"/>
              </w:rPr>
              <w:t>6.9011</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60360D9E">
            <w:pPr>
              <w:tabs>
                <w:tab w:val="left" w:pos="720"/>
              </w:tabs>
              <w:jc w:val="center"/>
              <w:rPr>
                <w:rFonts w:ascii="宋体" w:hAnsi="宋体"/>
              </w:rPr>
            </w:pPr>
            <w:r>
              <w:rPr>
                <w:rFonts w:ascii="宋体" w:hAnsi="宋体"/>
              </w:rPr>
              <w:t>7.5959</w:t>
            </w:r>
          </w:p>
        </w:tc>
      </w:tr>
      <w:tr w14:paraId="19D2B230">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0B95F17F">
            <w:pPr>
              <w:tabs>
                <w:tab w:val="left" w:pos="720"/>
              </w:tabs>
              <w:jc w:val="center"/>
              <w:rPr>
                <w:rFonts w:ascii="宋体" w:hAnsi="宋体"/>
              </w:rPr>
            </w:pPr>
            <w:r>
              <w:rPr>
                <w:rFonts w:ascii="宋体" w:hAnsi="宋体"/>
              </w:rPr>
              <w:t>峰度 (超额 kurtosis)</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125E410C">
            <w:pPr>
              <w:tabs>
                <w:tab w:val="left" w:pos="720"/>
              </w:tabs>
              <w:jc w:val="center"/>
              <w:rPr>
                <w:rFonts w:ascii="宋体" w:hAnsi="宋体"/>
              </w:rPr>
            </w:pPr>
            <w:r>
              <w:rPr>
                <w:rFonts w:ascii="宋体" w:hAnsi="宋体"/>
              </w:rPr>
              <w:t>114.5011</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44F22DC5">
            <w:pPr>
              <w:tabs>
                <w:tab w:val="left" w:pos="720"/>
              </w:tabs>
              <w:jc w:val="center"/>
              <w:rPr>
                <w:rFonts w:ascii="宋体" w:hAnsi="宋体"/>
              </w:rPr>
            </w:pPr>
            <w:r>
              <w:rPr>
                <w:rFonts w:ascii="宋体" w:hAnsi="宋体"/>
              </w:rPr>
              <w:t>111.1158</w:t>
            </w:r>
          </w:p>
        </w:tc>
      </w:tr>
      <w:tr w14:paraId="5868DFFA">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430AAA30">
            <w:pPr>
              <w:tabs>
                <w:tab w:val="left" w:pos="720"/>
              </w:tabs>
              <w:ind w:firstLine="420"/>
              <w:jc w:val="center"/>
              <w:rPr>
                <w:rFonts w:ascii="宋体" w:hAnsi="宋体"/>
              </w:rPr>
            </w:pPr>
            <w:r>
              <w:rPr>
                <w:rFonts w:ascii="宋体" w:hAnsi="宋体"/>
              </w:rPr>
              <w:t>偏度检验统计量</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0B2FC99C">
            <w:pPr>
              <w:tabs>
                <w:tab w:val="left" w:pos="720"/>
              </w:tabs>
              <w:jc w:val="center"/>
              <w:rPr>
                <w:rFonts w:ascii="宋体" w:hAnsi="宋体"/>
              </w:rPr>
            </w:pPr>
            <w:r>
              <w:rPr>
                <w:rFonts w:ascii="宋体" w:hAnsi="宋体"/>
              </w:rPr>
              <w:t>210.1623</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435614CD">
            <w:pPr>
              <w:tabs>
                <w:tab w:val="left" w:pos="720"/>
              </w:tabs>
              <w:jc w:val="center"/>
              <w:rPr>
                <w:rFonts w:ascii="宋体" w:hAnsi="宋体"/>
              </w:rPr>
            </w:pPr>
            <w:r>
              <w:rPr>
                <w:rFonts w:ascii="宋体" w:hAnsi="宋体"/>
              </w:rPr>
              <w:t>108.7136</w:t>
            </w:r>
          </w:p>
        </w:tc>
      </w:tr>
      <w:tr w14:paraId="4531FC9C">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4A655C0D">
            <w:pPr>
              <w:tabs>
                <w:tab w:val="left" w:pos="720"/>
              </w:tabs>
              <w:ind w:firstLine="420"/>
              <w:jc w:val="center"/>
              <w:rPr>
                <w:rFonts w:ascii="宋体" w:hAnsi="宋体"/>
              </w:rPr>
            </w:pPr>
            <w:r>
              <w:rPr>
                <w:rFonts w:ascii="宋体" w:hAnsi="宋体"/>
              </w:rPr>
              <w:t>偏度检验 P 值</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2D893D95">
            <w:pPr>
              <w:tabs>
                <w:tab w:val="left" w:pos="720"/>
              </w:tabs>
              <w:jc w:val="center"/>
              <w:rPr>
                <w:rFonts w:ascii="宋体" w:hAnsi="宋体"/>
              </w:rPr>
            </w:pPr>
            <w:r>
              <w:rPr>
                <w:rFonts w:ascii="宋体" w:hAnsi="宋体"/>
              </w:rPr>
              <w:t>0.000000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050C5553">
            <w:pPr>
              <w:tabs>
                <w:tab w:val="left" w:pos="720"/>
              </w:tabs>
              <w:jc w:val="center"/>
              <w:rPr>
                <w:rFonts w:ascii="宋体" w:hAnsi="宋体"/>
              </w:rPr>
            </w:pPr>
            <w:r>
              <w:rPr>
                <w:rFonts w:ascii="宋体" w:hAnsi="宋体"/>
              </w:rPr>
              <w:t>0.000000</w:t>
            </w:r>
          </w:p>
        </w:tc>
      </w:tr>
      <w:tr w14:paraId="756CD8A7">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29B4D400">
            <w:pPr>
              <w:tabs>
                <w:tab w:val="left" w:pos="720"/>
              </w:tabs>
              <w:ind w:firstLine="420"/>
              <w:jc w:val="center"/>
              <w:rPr>
                <w:rFonts w:ascii="宋体" w:hAnsi="宋体"/>
              </w:rPr>
            </w:pPr>
            <w:r>
              <w:rPr>
                <w:rFonts w:ascii="宋体" w:hAnsi="宋体"/>
              </w:rPr>
              <w:t>峰度检验统计量</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1935C9FC">
            <w:pPr>
              <w:tabs>
                <w:tab w:val="left" w:pos="720"/>
              </w:tabs>
              <w:jc w:val="center"/>
              <w:rPr>
                <w:rFonts w:ascii="宋体" w:hAnsi="宋体"/>
              </w:rPr>
            </w:pPr>
            <w:r>
              <w:rPr>
                <w:rFonts w:ascii="宋体" w:hAnsi="宋体"/>
              </w:rPr>
              <w:t>140.8496</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3F92950D">
            <w:pPr>
              <w:tabs>
                <w:tab w:val="left" w:pos="720"/>
              </w:tabs>
              <w:jc w:val="center"/>
              <w:rPr>
                <w:rFonts w:ascii="宋体" w:hAnsi="宋体"/>
              </w:rPr>
            </w:pPr>
            <w:r>
              <w:rPr>
                <w:rFonts w:ascii="宋体" w:hAnsi="宋体"/>
              </w:rPr>
              <w:t>70.3828</w:t>
            </w:r>
          </w:p>
        </w:tc>
      </w:tr>
      <w:tr w14:paraId="00D5C313">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6BC08310">
            <w:pPr>
              <w:tabs>
                <w:tab w:val="left" w:pos="720"/>
              </w:tabs>
              <w:ind w:firstLine="420"/>
              <w:jc w:val="center"/>
              <w:rPr>
                <w:rFonts w:ascii="宋体" w:hAnsi="宋体"/>
              </w:rPr>
            </w:pPr>
            <w:r>
              <w:rPr>
                <w:rFonts w:ascii="宋体" w:hAnsi="宋体"/>
              </w:rPr>
              <w:t>峰度检验 P 值</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5370FB84">
            <w:pPr>
              <w:tabs>
                <w:tab w:val="left" w:pos="720"/>
              </w:tabs>
              <w:jc w:val="center"/>
              <w:rPr>
                <w:rFonts w:ascii="宋体" w:hAnsi="宋体"/>
              </w:rPr>
            </w:pPr>
            <w:r>
              <w:rPr>
                <w:rFonts w:ascii="宋体" w:hAnsi="宋体"/>
              </w:rPr>
              <w:t>0.000000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306DD6CA">
            <w:pPr>
              <w:tabs>
                <w:tab w:val="left" w:pos="720"/>
              </w:tabs>
              <w:jc w:val="center"/>
              <w:rPr>
                <w:rFonts w:ascii="宋体" w:hAnsi="宋体"/>
              </w:rPr>
            </w:pPr>
            <w:r>
              <w:rPr>
                <w:rFonts w:ascii="宋体" w:hAnsi="宋体"/>
              </w:rPr>
              <w:t>0.000000</w:t>
            </w:r>
          </w:p>
        </w:tc>
      </w:tr>
      <w:tr w14:paraId="6F0379A3">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23A97284">
            <w:pPr>
              <w:tabs>
                <w:tab w:val="left" w:pos="720"/>
              </w:tabs>
              <w:jc w:val="center"/>
              <w:rPr>
                <w:rFonts w:ascii="宋体" w:hAnsi="宋体"/>
              </w:rPr>
            </w:pPr>
            <w:r>
              <w:rPr>
                <w:rFonts w:ascii="宋体" w:hAnsi="宋体"/>
              </w:rPr>
              <w:t>综合检验统计量 (K²)</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369AF7CA">
            <w:pPr>
              <w:tabs>
                <w:tab w:val="left" w:pos="720"/>
              </w:tabs>
              <w:jc w:val="center"/>
              <w:rPr>
                <w:rFonts w:ascii="宋体" w:hAnsi="宋体"/>
              </w:rPr>
            </w:pPr>
            <w:r>
              <w:rPr>
                <w:rFonts w:ascii="宋体" w:hAnsi="宋体"/>
              </w:rPr>
              <w:t>64006.8100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7220CA72">
            <w:pPr>
              <w:tabs>
                <w:tab w:val="left" w:pos="720"/>
              </w:tabs>
              <w:jc w:val="center"/>
              <w:rPr>
                <w:rFonts w:ascii="宋体" w:hAnsi="宋体"/>
              </w:rPr>
            </w:pPr>
            <w:r>
              <w:rPr>
                <w:rFonts w:ascii="宋体" w:hAnsi="宋体"/>
              </w:rPr>
              <w:t>16772.3754</w:t>
            </w:r>
          </w:p>
        </w:tc>
      </w:tr>
      <w:tr w14:paraId="61E229D1">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735E56BA">
            <w:pPr>
              <w:tabs>
                <w:tab w:val="left" w:pos="720"/>
              </w:tabs>
              <w:ind w:firstLine="420"/>
              <w:jc w:val="center"/>
              <w:rPr>
                <w:rFonts w:ascii="宋体" w:hAnsi="宋体"/>
              </w:rPr>
            </w:pPr>
            <w:r>
              <w:rPr>
                <w:rFonts w:ascii="宋体" w:hAnsi="宋体"/>
              </w:rPr>
              <w:t>综合检验 P 值</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053208CC">
            <w:pPr>
              <w:tabs>
                <w:tab w:val="left" w:pos="720"/>
              </w:tabs>
              <w:jc w:val="center"/>
              <w:rPr>
                <w:rFonts w:ascii="宋体" w:hAnsi="宋体"/>
              </w:rPr>
            </w:pPr>
            <w:r>
              <w:rPr>
                <w:rFonts w:ascii="宋体" w:hAnsi="宋体"/>
              </w:rPr>
              <w:t>0.000000</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6B882AE3">
            <w:pPr>
              <w:tabs>
                <w:tab w:val="left" w:pos="720"/>
              </w:tabs>
              <w:jc w:val="center"/>
              <w:rPr>
                <w:rFonts w:ascii="宋体" w:hAnsi="宋体"/>
              </w:rPr>
            </w:pPr>
            <w:r>
              <w:rPr>
                <w:rFonts w:ascii="宋体" w:hAnsi="宋体"/>
              </w:rPr>
              <w:t>0.000000</w:t>
            </w:r>
          </w:p>
        </w:tc>
      </w:tr>
      <w:tr w14:paraId="561388B8">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3C6B31BC">
            <w:pPr>
              <w:tabs>
                <w:tab w:val="left" w:pos="720"/>
              </w:tabs>
              <w:ind w:firstLine="420"/>
              <w:jc w:val="center"/>
              <w:rPr>
                <w:rFonts w:ascii="宋体" w:hAnsi="宋体"/>
              </w:rPr>
            </w:pPr>
            <w:r>
              <w:rPr>
                <w:rFonts w:ascii="宋体" w:hAnsi="宋体"/>
              </w:rPr>
              <w:t>偏度标准误 (SE)</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775FC7F8">
            <w:pPr>
              <w:tabs>
                <w:tab w:val="left" w:pos="720"/>
              </w:tabs>
              <w:jc w:val="center"/>
              <w:rPr>
                <w:rFonts w:ascii="宋体" w:hAnsi="宋体"/>
              </w:rPr>
            </w:pPr>
            <w:r>
              <w:rPr>
                <w:rFonts w:ascii="宋体" w:hAnsi="宋体"/>
              </w:rPr>
              <w:t>0.011002</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30876AA8">
            <w:pPr>
              <w:tabs>
                <w:tab w:val="left" w:pos="720"/>
              </w:tabs>
              <w:jc w:val="center"/>
              <w:rPr>
                <w:rFonts w:ascii="宋体" w:hAnsi="宋体"/>
              </w:rPr>
            </w:pPr>
            <w:r>
              <w:rPr>
                <w:rFonts w:ascii="宋体" w:hAnsi="宋体"/>
              </w:rPr>
              <w:t>0.022002</w:t>
            </w:r>
          </w:p>
        </w:tc>
      </w:tr>
      <w:tr w14:paraId="2877172C">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4670E4F1">
            <w:pPr>
              <w:tabs>
                <w:tab w:val="left" w:pos="720"/>
              </w:tabs>
              <w:ind w:firstLine="420"/>
              <w:jc w:val="center"/>
              <w:rPr>
                <w:rFonts w:ascii="宋体" w:hAnsi="宋体"/>
              </w:rPr>
            </w:pPr>
            <w:r>
              <w:rPr>
                <w:rFonts w:ascii="宋体" w:hAnsi="宋体"/>
              </w:rPr>
              <w:t>偏度 Z 值</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740BD32E">
            <w:pPr>
              <w:tabs>
                <w:tab w:val="left" w:pos="720"/>
              </w:tabs>
              <w:jc w:val="center"/>
              <w:rPr>
                <w:rFonts w:ascii="宋体" w:hAnsi="宋体"/>
              </w:rPr>
            </w:pPr>
            <w:r>
              <w:rPr>
                <w:rFonts w:ascii="宋体" w:hAnsi="宋体"/>
              </w:rPr>
              <w:t>627.2704</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04B17F8E">
            <w:pPr>
              <w:tabs>
                <w:tab w:val="left" w:pos="720"/>
              </w:tabs>
              <w:jc w:val="center"/>
              <w:rPr>
                <w:rFonts w:ascii="宋体" w:hAnsi="宋体"/>
              </w:rPr>
            </w:pPr>
            <w:r>
              <w:rPr>
                <w:rFonts w:ascii="宋体" w:hAnsi="宋体"/>
              </w:rPr>
              <w:t>345.2327</w:t>
            </w:r>
          </w:p>
        </w:tc>
      </w:tr>
      <w:tr w14:paraId="7EE1C3AE">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7BC0A961">
            <w:pPr>
              <w:tabs>
                <w:tab w:val="left" w:pos="720"/>
              </w:tabs>
              <w:ind w:firstLine="420"/>
              <w:jc w:val="center"/>
              <w:rPr>
                <w:rFonts w:ascii="宋体" w:hAnsi="宋体"/>
              </w:rPr>
            </w:pPr>
            <w:r>
              <w:rPr>
                <w:rFonts w:ascii="宋体" w:hAnsi="宋体"/>
              </w:rPr>
              <w:t>峰度标准误 (SE)</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292EE97F">
            <w:pPr>
              <w:tabs>
                <w:tab w:val="left" w:pos="720"/>
              </w:tabs>
              <w:jc w:val="center"/>
              <w:rPr>
                <w:rFonts w:ascii="宋体" w:hAnsi="宋体"/>
              </w:rPr>
            </w:pPr>
            <w:r>
              <w:rPr>
                <w:rFonts w:ascii="宋体" w:hAnsi="宋体"/>
              </w:rPr>
              <w:t>0.022003</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07C07F56">
            <w:pPr>
              <w:tabs>
                <w:tab w:val="left" w:pos="720"/>
              </w:tabs>
              <w:jc w:val="center"/>
              <w:rPr>
                <w:rFonts w:ascii="宋体" w:hAnsi="宋体"/>
              </w:rPr>
            </w:pPr>
            <w:r>
              <w:rPr>
                <w:rFonts w:ascii="宋体" w:hAnsi="宋体"/>
              </w:rPr>
              <w:t>0.044001</w:t>
            </w:r>
          </w:p>
        </w:tc>
      </w:tr>
      <w:tr w14:paraId="3B2C43E2">
        <w:tblPrEx>
          <w:tblBorders>
            <w:top w:val="single" w:color="DEE0E3" w:sz="6" w:space="0"/>
            <w:left w:val="single" w:color="DEE0E3" w:sz="6" w:space="0"/>
            <w:bottom w:val="single" w:color="DEE0E3" w:sz="6" w:space="0"/>
            <w:right w:val="single" w:color="DEE0E3" w:sz="6" w:space="0"/>
            <w:insideH w:val="none" w:color="auto" w:sz="0" w:space="0"/>
            <w:insideV w:val="none" w:color="auto" w:sz="0" w:space="0"/>
          </w:tblBorders>
          <w:tblCellMar>
            <w:top w:w="15" w:type="dxa"/>
            <w:left w:w="15" w:type="dxa"/>
            <w:bottom w:w="15" w:type="dxa"/>
            <w:right w:w="15" w:type="dxa"/>
          </w:tblCellMar>
        </w:tblPrEx>
        <w:trPr>
          <w:trHeight w:val="27" w:hRule="atLeast"/>
          <w:jc w:val="center"/>
        </w:trPr>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361CE851">
            <w:pPr>
              <w:tabs>
                <w:tab w:val="left" w:pos="720"/>
              </w:tabs>
              <w:ind w:firstLine="420"/>
              <w:jc w:val="center"/>
              <w:rPr>
                <w:rFonts w:ascii="宋体" w:hAnsi="宋体"/>
              </w:rPr>
            </w:pPr>
            <w:r>
              <w:rPr>
                <w:rFonts w:ascii="宋体" w:hAnsi="宋体"/>
              </w:rPr>
              <w:t>峰度 Z 值</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0E0939E1">
            <w:pPr>
              <w:tabs>
                <w:tab w:val="left" w:pos="720"/>
              </w:tabs>
              <w:jc w:val="center"/>
              <w:rPr>
                <w:rFonts w:ascii="宋体" w:hAnsi="宋体"/>
              </w:rPr>
            </w:pPr>
            <w:r>
              <w:rPr>
                <w:rFonts w:ascii="宋体" w:hAnsi="宋体"/>
              </w:rPr>
              <w:t>5203.8738</w:t>
            </w:r>
          </w:p>
        </w:tc>
        <w:tc>
          <w:tcPr>
            <w:tcW w:w="0" w:type="auto"/>
            <w:tcBorders>
              <w:top w:val="single" w:color="DEE0E3" w:sz="6" w:space="0"/>
              <w:left w:val="single" w:color="DEE0E3" w:sz="6" w:space="0"/>
              <w:bottom w:val="single" w:color="DEE0E3" w:sz="6" w:space="0"/>
              <w:right w:val="single" w:color="DEE0E3" w:sz="6" w:space="0"/>
            </w:tcBorders>
            <w:tcMar>
              <w:top w:w="135" w:type="dxa"/>
              <w:left w:w="120" w:type="dxa"/>
              <w:bottom w:w="135" w:type="dxa"/>
              <w:right w:w="120" w:type="dxa"/>
            </w:tcMar>
          </w:tcPr>
          <w:p w14:paraId="12FE2709">
            <w:pPr>
              <w:tabs>
                <w:tab w:val="left" w:pos="720"/>
              </w:tabs>
              <w:jc w:val="center"/>
              <w:rPr>
                <w:rFonts w:ascii="宋体" w:hAnsi="宋体"/>
              </w:rPr>
            </w:pPr>
            <w:r>
              <w:rPr>
                <w:rFonts w:ascii="宋体" w:hAnsi="宋体"/>
              </w:rPr>
              <w:t>2525.2887</w:t>
            </w:r>
          </w:p>
        </w:tc>
      </w:tr>
    </w:tbl>
    <w:p w14:paraId="1A09E05D">
      <w:pPr>
        <w:ind w:firstLine="420"/>
      </w:pPr>
      <w:r>
        <w:t>检验结果显示，训练集和测试集的偏度分别为6.90和7.60，表明数据分布显著右偏；峰度分别为114.50和111.12，显示出极端的尖峰厚尾特征。基于D'Agostino-Pearson检验的综合统计量，两个数据集的P值均为0.000，远小于显著性水平α=0.05，强烈拒绝了数据来自正态分布的原假设。这种高度非正态、极度右偏且尖峰厚尾的分布形态源于数据的内在异质性：大量短评构成了分布的主体和尖峰，而不同类别中的长评则形成了拖尾的厚尾部分。</w:t>
      </w:r>
    </w:p>
    <w:p w14:paraId="15967B5A">
      <w:pPr>
        <w:ind w:firstLine="420"/>
      </w:pPr>
      <w:r>
        <w:t>尽管数据分布显著偏离正态假设，但BERT架构内置的Layer Normalization机制能够有效缓解这一问题。LayerNorm作为每个Transformer子层的标准组件，对单个样本的所有特征维度进行标准化，使其均值为0、方差为1。因此，原始输入数据的分布形态在经过第一层嵌入和LayerNorm处理后，其影响已被极大削弱和规范化，不会对模型训练造成实质性障碍。</w:t>
      </w:r>
    </w:p>
    <w:p w14:paraId="250B5EEC">
      <w:pPr>
        <w:pStyle w:val="3"/>
      </w:pPr>
      <w:r>
        <w:t>模型架构</w:t>
      </w:r>
    </w:p>
    <w:p w14:paraId="5735A72E">
      <w:pPr>
        <w:pStyle w:val="4"/>
      </w:pPr>
      <w:r>
        <w:t>BERT-BiLSTM混合模型设计</w:t>
      </w:r>
    </w:p>
    <w:p w14:paraId="3E88DC47">
      <w:pPr>
        <w:ind w:firstLine="420"/>
      </w:pPr>
      <w:r>
        <w:rPr>
          <w:rFonts w:hint="eastAsia"/>
        </w:rPr>
        <w:t>本实验构建了一个结合BERT预训练模型与双向LSTM的混合神经网络架构，旨在充分利用两种模型的互补优势。BERT模型通过自注意力机制捕捉文本中的全局依赖关系，生成包含丰富上下文信息的词向量表示；双向LSTM则擅长处理序列数据中的长期依赖关系，能够从正向和反向两个维度学习文本的时序特征。</w:t>
      </w:r>
    </w:p>
    <w:p w14:paraId="7B52C826">
      <w:pPr>
        <w:ind w:firstLine="420"/>
      </w:pPr>
      <w:r>
        <w:rPr>
          <w:rFonts w:hint="eastAsia"/>
        </w:rPr>
        <w:t>模型的整体结构分为三个主要层次。第一层为BERT特征提取层，采用bert-base-chinese预训练模型作为编码器，输出维度为768的隐藏状态序列。为避免微调过程破坏预训练知识，本研究采用冻结BERT参数的策略，在前向传播中使用torch.no_grad()上下文管理器，确保BERT部分参数在训练阶段保持不变。这种设计不仅减少了可训练参数数量，降低了过拟合风险，也显著提升了训练效率。</w:t>
      </w:r>
    </w:p>
    <w:p w14:paraId="6AF8FE20">
      <w:pPr>
        <w:keepNext/>
        <w:jc w:val="center"/>
      </w:pPr>
      <w:r>
        <w:rPr>
          <w:rFonts w:hint="eastAsia"/>
        </w:rPr>
        <w:drawing>
          <wp:inline distT="0" distB="0" distL="0" distR="0">
            <wp:extent cx="5276850" cy="942975"/>
            <wp:effectExtent l="0" t="0" r="0" b="9525"/>
            <wp:docPr id="16987803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80365" name="图片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6850" cy="942975"/>
                    </a:xfrm>
                    <a:prstGeom prst="rect">
                      <a:avLst/>
                    </a:prstGeom>
                  </pic:spPr>
                </pic:pic>
              </a:graphicData>
            </a:graphic>
          </wp:inline>
        </w:drawing>
      </w:r>
    </w:p>
    <w:p w14:paraId="3A21F1E0">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5</w:t>
      </w:r>
      <w:r>
        <w:fldChar w:fldCharType="end"/>
      </w:r>
      <w:r>
        <w:t xml:space="preserve"> BERT-BiLSTM模型架构图</w:t>
      </w:r>
    </w:p>
    <w:p w14:paraId="159C7070">
      <w:pPr>
        <w:ind w:firstLine="420"/>
      </w:pPr>
      <w:r>
        <w:t>第二层为双向LSTM层，配置为双层结构，隐藏维度设置为128。该层接收BERT输出的隐藏状态序列，通过双向处理同时考虑每个位置前向和后向的上下文信息。双层堆叠设计增强了模型对复杂序列模式的建模能力。LSTM层输出的最终隐藏状态经过前向和后向拼接，形成256维的文本整体表示。</w:t>
      </w:r>
    </w:p>
    <w:p w14:paraId="4A51139A">
      <w:pPr>
        <w:keepNext/>
        <w:jc w:val="center"/>
      </w:pPr>
      <w:r>
        <w:rPr>
          <w:rFonts w:hint="eastAsia"/>
        </w:rPr>
        <w:drawing>
          <wp:inline distT="0" distB="0" distL="0" distR="0">
            <wp:extent cx="5277485" cy="1752600"/>
            <wp:effectExtent l="0" t="0" r="0" b="0"/>
            <wp:docPr id="16787151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5157" name="图片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7587" cy="1752845"/>
                    </a:xfrm>
                    <a:prstGeom prst="rect">
                      <a:avLst/>
                    </a:prstGeom>
                  </pic:spPr>
                </pic:pic>
              </a:graphicData>
            </a:graphic>
          </wp:inline>
        </w:drawing>
      </w:r>
    </w:p>
    <w:p w14:paraId="5A6E5298">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6</w:t>
      </w:r>
      <w:r>
        <w:fldChar w:fldCharType="end"/>
      </w:r>
      <w:r>
        <w:t xml:space="preserve"> BiLSTM层结构示意图</w:t>
      </w:r>
    </w:p>
    <w:p w14:paraId="6BCBF713">
      <w:pPr>
        <w:ind w:firstLine="420"/>
      </w:pPr>
      <w:r>
        <w:t>第三层为全连接分类层，将LSTM输出的256维向量通过线性变换映射到目标类别空间。根据本实验的二分类任务需求，输出维度设置为2。该层采用线性变换配合交叉熵损失函数中隐含的Softmax激活，计算每个类别的预测概率。</w:t>
      </w:r>
    </w:p>
    <w:p w14:paraId="0AD279E2">
      <w:pPr>
        <w:ind w:firstLine="420"/>
      </w:pPr>
      <w:r>
        <w:t>模型的前向传播流程清晰明确。输入文本首先通过BERT分词器编码为input_ids、attention_mask和token_type_ids三个张量。这些张量作为BERT层的输入，经过多层Transformer编码后得到每个位置的上下文相关向量表示。该序列表示被送入BiLSTM层进行时序特征提取，获取每个时间步的双向隐藏状态。通过提取序列最后一个时间步的LSTM输出，得到整个文本的固定维度表示。最终，这一表示经过全连接层的线性变换，产生分类逻辑值。</w:t>
      </w:r>
    </w:p>
    <w:p w14:paraId="2055A9EE">
      <w:pPr>
        <w:keepNext/>
        <w:jc w:val="center"/>
      </w:pPr>
      <w:r>
        <w:rPr>
          <w:rFonts w:hint="eastAsia"/>
        </w:rPr>
        <w:drawing>
          <wp:inline distT="0" distB="0" distL="0" distR="0">
            <wp:extent cx="4933950" cy="736600"/>
            <wp:effectExtent l="0" t="0" r="0" b="6350"/>
            <wp:docPr id="20759045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04542" name="图片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934204" cy="736638"/>
                    </a:xfrm>
                    <a:prstGeom prst="rect">
                      <a:avLst/>
                    </a:prstGeom>
                  </pic:spPr>
                </pic:pic>
              </a:graphicData>
            </a:graphic>
          </wp:inline>
        </w:drawing>
      </w:r>
    </w:p>
    <w:p w14:paraId="1FC9DE92">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7</w:t>
      </w:r>
      <w:r>
        <w:fldChar w:fldCharType="end"/>
      </w:r>
      <w:r>
        <w:rPr>
          <w:rFonts w:hint="eastAsia"/>
        </w:rPr>
        <w:t>模型详细参数配置输出</w:t>
      </w:r>
    </w:p>
    <w:p w14:paraId="4F6EAE50">
      <w:pPr>
        <w:pStyle w:val="4"/>
      </w:pPr>
      <w:r>
        <w:t>训练配置与优化策略</w:t>
      </w:r>
    </w:p>
    <w:p w14:paraId="1D10B853">
      <w:pPr>
        <w:pStyle w:val="33"/>
        <w:ind w:firstLine="420"/>
      </w:pPr>
      <w:r>
        <w:t>训练过程采用AdamW优化器，初始学习率设置为5×10</w:t>
      </w:r>
      <w:r>
        <w:rPr>
          <w:rFonts w:ascii="Cambria Math" w:hAnsi="Cambria Math" w:cs="Cambria Math"/>
        </w:rPr>
        <w:t>⁻⁴</w:t>
      </w:r>
      <w:r>
        <w:t>。AdamW是Adam优化器的改进版本，通过正确实现权重衰减机制，在保持Adam优势的同时有效防止过拟合。学习率调度采用线性衰减策略，随着训练步数增加逐渐降低学习率，有助于模型在训练后期实现更精细的参数调整。损失函数选用交叉熵损失（CrossEntropyLoss），适合多分类任务且能够提供稳定的梯度信号。</w:t>
      </w:r>
    </w:p>
    <w:p w14:paraId="257C00BA">
      <w:pPr>
        <w:pStyle w:val="33"/>
        <w:ind w:firstLine="420"/>
      </w:pPr>
      <w:r>
        <w:t>批处理大小设置为16，这一数值是在GPU内存容量、训练稳定性和收敛速度之间权衡的结果。数据加载器针对训练、验证和测试三个阶段采用了差异化配置。训练阶段启用数据随机打乱（shuffle=True），打破原始数据顺序，提升模型泛化能力，并舍弃最后不足一个批次的数据（drop_last=True），确保每次参数更新基于完整批次。验证和测试阶段则保持数据原始顺序（shuffle=False），保留所有样本（drop_last=False），确保评估结果的全面性和可靠性。</w:t>
      </w:r>
    </w:p>
    <w:p w14:paraId="2134985E">
      <w:pPr>
        <w:pStyle w:val="33"/>
        <w:ind w:firstLine="420"/>
      </w:pPr>
      <w:r>
        <w:t>为实现对训练过程的实时监控，每间隔10个批次记录当前损失值、学习率和批次准确率。同时，每100个批次保存一次模型参数检查点，增强实验的可恢复性和可重复性。这种细粒度的监控机制有助于及时发现训练异常，为超参数调整提供数据依据。</w:t>
      </w:r>
    </w:p>
    <w:p w14:paraId="071324D8"/>
    <w:p w14:paraId="1FF9B77A">
      <w:pPr>
        <w:pStyle w:val="3"/>
      </w:pPr>
      <w:r>
        <w:t>实验结果</w:t>
      </w:r>
    </w:p>
    <w:p w14:paraId="5ED17066">
      <w:pPr>
        <w:pStyle w:val="4"/>
      </w:pPr>
      <w:r>
        <w:t>训练过程与收敛特性</w:t>
      </w:r>
    </w:p>
    <w:p w14:paraId="79557B71">
      <w:pPr>
        <w:pStyle w:val="33"/>
        <w:ind w:firstLine="420"/>
      </w:pPr>
      <w:r>
        <w:t>模型训练共进行2个完整周期（Epoch），每周期包含约2,477个训练批次。训练初期，模型损失为1.0384，批次准确率为50.00%，表明模型处于随机猜测状态。随着训练推进，损失值快速下降并伴随适度波动。在Step 10时，损失降至0.6416，准确率跃升至93.75%，显示模型迅速学习到了有效的情感特征。至Step 900（第一周期末期），损失已降至0.0983，准确率达到100.00%。整个训练过程中，批次准确率在62.50%至100.00%之间波动，达到100%的批次占比显著，尤其在训练后期（第二周期）频次更高，说明模型能够充分拟合训练数据中的情感分类模式。</w:t>
      </w:r>
    </w:p>
    <w:p w14:paraId="5F6DA8D1">
      <w:pPr>
        <w:pStyle w:val="33"/>
        <w:ind w:firstLine="420"/>
      </w:pPr>
      <w:r>
        <w:t>训练损失曲线呈现稳定的下降趋势，未出现明显的震荡或发散现象。学习率按照线性衰减策略平稳递减至接近零，优化过程整体保持稳定。至训练后期（Step 7034），训练损失进一步降至0.042，训练准确率达到98.55%，表明模型在训练集上实现了近乎完美的拟合。</w:t>
      </w:r>
    </w:p>
    <w:p w14:paraId="26EA4A7C">
      <w:pPr>
        <w:pStyle w:val="4"/>
      </w:pPr>
      <w:r>
        <w:t>验证集性能评估</w:t>
      </w:r>
    </w:p>
    <w:p w14:paraId="7F8E82AA">
      <w:pPr>
        <w:pStyle w:val="33"/>
        <w:ind w:firstLine="420"/>
      </w:pPr>
      <w:r>
        <w:t>每个训练周期结束后，模型在独立验证集（约9,910条样本）上进行评估。验证结果高度一致：第一周期验证损失为0.2190，验证准确率为91.89%；第二周期验证损失为0.2191，验证准确率保持91.89%。这一结果表明，模型在训练过程中未出现过拟合现象，训练损失与验证损失同步下降。同时，模型在第一个周期内已接近收敛平台，继续训练并未带来验证性能的显著提升，但也未造成性能下降，显示了模型的稳定性。</w:t>
      </w:r>
    </w:p>
    <w:p w14:paraId="5CFA6D04">
      <w:pPr>
        <w:pStyle w:val="33"/>
        <w:ind w:firstLine="420"/>
      </w:pPr>
      <w:r>
        <w:t>验证损失曲线从初始的较高水平稳步下降至0.219左右后趋于平稳，与训练损失的变化趋势基本一致。训练损失与验证损失之间的适度差距（约0.17）处于合理范围，反映了模型在保持训练集拟合能力的同时，具备良好的泛化性能。</w:t>
      </w:r>
    </w:p>
    <w:p w14:paraId="6DAE6D0C">
      <w:pPr>
        <w:pStyle w:val="4"/>
      </w:pPr>
      <w:r>
        <w:t>测试集性能与指标分析</w:t>
      </w:r>
    </w:p>
    <w:p w14:paraId="47EB13FB">
      <w:pPr>
        <w:pStyle w:val="33"/>
        <w:ind w:firstLine="420"/>
      </w:pPr>
      <w:r>
        <w:t>为全面评估模型的实际分类能力，在完整测试集（12,378条样本）上进行了批量推理。测试过程累计准确率随批次增加逐渐稳定，最终在全部773个测试批次上取得整体准确率92.31%。进一步计算得到的分类性能指标如下：精确率（Precision）为92.28%，召回率（Recall）为92.31%，F1分数（F1-Score）为92.29%。</w:t>
      </w:r>
    </w:p>
    <w:p w14:paraId="206A50D6">
      <w:pPr>
        <w:pStyle w:val="33"/>
        <w:ind w:firstLine="420"/>
      </w:pPr>
      <w:r>
        <w:t>三项指标高度接近，说明模型在正、负两类情感样本上的分类性能均衡，未出现明显的类别偏倚。测试过程中累计准确率曲线平滑，最终稳定在92.3%附近，波动范围小，进一步验证了模型在实际应用中的稳健性。与验证集91.89%的准确率相比，测试集92.31%的表现略有提升，表明模型具有良好的泛化能力，能够在未见过的数据上保持稳定的性能输出。</w:t>
      </w:r>
    </w:p>
    <w:p w14:paraId="3611D17F">
      <w:pPr>
        <w:pStyle w:val="33"/>
        <w:ind w:firstLine="420"/>
      </w:pPr>
      <w:r>
        <w:t>综合训练、验证与测试三个阶段的表现，可以得出以下结论：首先，模型在首个训练周期内即达到接近最优的验证性能（91.89%），显示BERT预训练特征与BiLSTM序列建模能力的结合能够快速捕捉文本情感语义；其次，验证准确率与测试准确率均超过92%，且训练-验证损失差距小，表明模型未对训练集过拟合，具备良好的泛化能力；最后，测试集上精确率、召回率与F1分数几乎一致，反映模型对正、负情感类别的识别能力相当，适用于实际场景中的平衡分类任务。该实验结果验证了BERT-BiLSTM混合架构在中文商品评论情感二分类任务上的有效性，为后续多模态融合实验提供了可靠的文本语义分析基础。</w:t>
      </w:r>
    </w:p>
    <w:p w14:paraId="140C89C7">
      <w:pPr>
        <w:pStyle w:val="2"/>
      </w:pPr>
      <w:bookmarkStart w:id="5" w:name="_Toc217035986"/>
      <w:r>
        <w:t>基于ResNet的图像分类实验</w:t>
      </w:r>
      <w:bookmarkEnd w:id="5"/>
    </w:p>
    <w:p w14:paraId="41B65020">
      <w:pPr>
        <w:pStyle w:val="3"/>
      </w:pPr>
      <w:r>
        <w:t>实验设计</w:t>
      </w:r>
      <w:r>
        <w:rPr>
          <w:rFonts w:hint="eastAsia"/>
        </w:rPr>
        <w:t>与数据集</w:t>
      </w:r>
    </w:p>
    <w:p w14:paraId="2735C44B">
      <w:pPr>
        <w:pStyle w:val="4"/>
      </w:pPr>
      <w:r>
        <w:t>CIFAR-10数据集介绍</w:t>
      </w:r>
    </w:p>
    <w:p w14:paraId="018539B2">
      <w:pPr>
        <w:pStyle w:val="33"/>
        <w:ind w:firstLine="420"/>
      </w:pPr>
      <w:r>
        <w:t>CIFAR-10是计算机视觉领域广泛使用的标准图像分类基准数据集，包含10个互斥的物体类别：飞机（airplane）、汽车（automobile）、鸟类（bird）、猫（cat）、鹿（deer）、狗（dog）、青蛙（frog）、马（horse）、船（ship）和卡车（truck）。数据集总计60,000张32×32像素的RGB彩色图像，每个类别由6,000张图像构成。标准划分方式为50,000张训练图像和10,000张测试图像，其中训练集可进一步划分为训练子集与验证集以进行超参数调优和模型选择。</w:t>
      </w:r>
    </w:p>
    <w:p w14:paraId="2C406D66">
      <w:pPr>
        <w:pStyle w:val="33"/>
        <w:ind w:firstLine="420"/>
      </w:pPr>
      <w:r>
        <w:t>CIFAR-10的特点在于其图像分辨率相对较低，但类别内变化丰富、类别间存在一定的视觉相似性，这使得该数据集成为评估图像分类模型泛化能力的理想选择。相比于大规模数据集如ImageNet，CIFAR-10的规模适中，适合在有限计算资源下进行深度模型的对比研究。同时，该数据集的类别设计覆盖了自然物体和人造物体，具有良好的多样性和代表性。</w:t>
      </w:r>
    </w:p>
    <w:p w14:paraId="78628CDB">
      <w:pPr>
        <w:pStyle w:val="4"/>
      </w:pPr>
      <w:r>
        <w:t>实验配置与预处理</w:t>
      </w:r>
    </w:p>
    <w:p w14:paraId="2E9CB9F8">
      <w:pPr>
        <w:pStyle w:val="33"/>
        <w:ind w:firstLine="420"/>
      </w:pPr>
      <w:r>
        <w:t>本实验系统对比了ResNet18、ResNet34、ResNet50、ResNet101和ResNet152五种不同深度的预训练模型，以全面探究模型复杂度、深度与分类性能之间的平衡关系。实验在严格控制的条件下进行：设置随机种子为42确保结果可复现，采用Adam优化器，初始学习率设置为1×10</w:t>
      </w:r>
      <w:r>
        <w:rPr>
          <w:rFonts w:ascii="Cambria Math" w:hAnsi="Cambria Math" w:cs="Cambria Math"/>
        </w:rPr>
        <w:t>⁻⁴</w:t>
      </w:r>
      <w:r>
        <w:t>，批大小为32。训练过程共进行5个完整周期，部分模型在达到收敛后可能提前终止以节省计算资源。</w:t>
      </w:r>
    </w:p>
    <w:p w14:paraId="4D973BEE">
      <w:pPr>
        <w:pStyle w:val="33"/>
        <w:ind w:firstLine="420"/>
      </w:pPr>
      <w:r>
        <w:t>数据集划分方面，从原始50,000张训练图像中划分出45,000张作为训练集，5,000张作为验证集，保持10,000张测试集不变。图像预处理统一调整分辨率为224×224像素，以适配ResNet架构的标准输入要求。所有模型均采用在ImageNet上预训练的权重进行初始化，通过迁移学习的方式适配到CIFAR-10分类任务。这种配置确保了实验对比的公平性，使得不同深度模型之间的性能差异能够真实反映架构设计的影响。</w:t>
      </w:r>
    </w:p>
    <w:p w14:paraId="4C037B9E">
      <w:pPr>
        <w:pStyle w:val="33"/>
        <w:ind w:firstLine="420"/>
      </w:pPr>
      <w:r>
        <w:t>实验平台选择SwanLab在线实验室，该平台提供了便捷的GPU计算资源和实验可视化工具。通过SwanLab的实时监控功能，可以同步追踪不同模型的训练损失、验证准确率等关键指标，为模型性能分析提供了直观的数据支持。</w:t>
      </w:r>
    </w:p>
    <w:p w14:paraId="2DC89B9E">
      <w:pPr>
        <w:pStyle w:val="3"/>
      </w:pPr>
      <w:r>
        <w:t>ResNet架构原理</w:t>
      </w:r>
    </w:p>
    <w:p w14:paraId="6396B360">
      <w:pPr>
        <w:pStyle w:val="4"/>
      </w:pPr>
      <w:r>
        <w:t>残差学习机制</w:t>
      </w:r>
    </w:p>
    <w:p w14:paraId="00770DE8">
      <w:pPr>
        <w:pStyle w:val="33"/>
        <w:ind w:firstLine="420"/>
      </w:pPr>
      <w:r>
        <w:t>ResNet（Residual Network）的核心创新在于引入了残差学习框架，有效解决了深度神经网络训练中的梯度消失和性能退化问题。传统的深度网络直接学习输入到输出的映射H(x)，而ResNet通过跨层恒等映射（skip connection）将学习目标转化为残差函数</w:t>
      </w:r>
      <m:oMath>
        <m:r>
          <m:rPr/>
          <w:rPr>
            <w:rFonts w:ascii="Cambria Math" w:hAnsi="Cambria Math"/>
          </w:rPr>
          <m:t>F(x)=H(x)−x</m:t>
        </m:r>
      </m:oMath>
      <w:r>
        <w:t>。在这种设计下，网络层只需学习输入与期望输出之间的差异，而非完整的映射关系。</w:t>
      </w:r>
    </w:p>
    <w:p w14:paraId="725D1E8C">
      <w:pPr>
        <w:pStyle w:val="33"/>
        <w:ind w:firstLine="420"/>
      </w:pPr>
      <w:r>
        <w:t>残差块的数学表达式为：</w:t>
      </w:r>
      <m:oMath>
        <m:r>
          <m:rPr/>
          <w:rPr>
            <w:rFonts w:ascii="Cambria Math" w:hAnsi="Cambria Math"/>
          </w:rPr>
          <m:t>y = F(x, {W</m:t>
        </m:r>
        <m:r>
          <m:rPr/>
          <w:rPr>
            <w:rFonts w:ascii="Cambria Math" w:hAnsi="Cambria Math" w:cs="Times New Roman"/>
          </w:rPr>
          <m:t>ᵢ</m:t>
        </m:r>
        <m:r>
          <m:rPr/>
          <w:rPr>
            <w:rFonts w:ascii="Cambria Math" w:hAnsi="Cambria Math"/>
          </w:rPr>
          <m:t>}) + x</m:t>
        </m:r>
      </m:oMath>
      <w:r>
        <w:t>，其中x为输入，</w:t>
      </w:r>
      <m:oMath>
        <m:r>
          <m:rPr/>
          <w:rPr>
            <w:rFonts w:ascii="Cambria Math" w:hAnsi="Cambria Math"/>
          </w:rPr>
          <m:t>F(x, {W</m:t>
        </m:r>
        <m:r>
          <m:rPr/>
          <w:rPr>
            <w:rFonts w:ascii="Cambria Math" w:hAnsi="Cambria Math" w:cs="Times New Roman"/>
          </w:rPr>
          <m:t>ᵢ</m:t>
        </m:r>
        <m:r>
          <m:rPr/>
          <w:rPr>
            <w:rFonts w:ascii="Cambria Math" w:hAnsi="Cambria Math"/>
          </w:rPr>
          <m:t>})</m:t>
        </m:r>
      </m:oMath>
      <w:r>
        <w:t>代表需要学习的残差映射，y为输出。恒等映射x通过快捷连接（shortcut connection）直接传递到输出端，与残差映射相加后经过激活函数得到最终输出。这种设计使得即使残差映射F(x)趋近于零，网络仍能通过恒等映射保持信息流动，从而避免了深度网络中常见的性能退化现象。</w:t>
      </w:r>
    </w:p>
    <w:p w14:paraId="60ADE242">
      <w:pPr>
        <w:pStyle w:val="33"/>
        <w:ind w:firstLine="420"/>
      </w:pPr>
      <w:r>
        <w:t>残差学习的优势体现在多个方面。首先，梯度可以通过快捷连接直接反向传播到浅层网络，缓解了梯度消失问题，使得训练超过百层的深度网络成为可能。其次，恒等映射提供了一种简单有效的正则化机制，即使某些层的残差映射未能学习到有效特征，网络整体性能也不会显著下降。最后，残差结构具有良好的可扩展性，通过堆叠残差块可以灵活调整网络深度，适应不同复杂度的任务需求。</w:t>
      </w:r>
    </w:p>
    <w:p w14:paraId="6F0505F1">
      <w:pPr>
        <w:pStyle w:val="4"/>
      </w:pPr>
      <w:r>
        <w:t>不同深度模型的架构差异</w:t>
      </w:r>
    </w:p>
    <w:p w14:paraId="54431D77">
      <w:pPr>
        <w:ind w:firstLine="420"/>
      </w:pPr>
      <w:r>
        <w:t>ResNet系列模型通过残差块的堆叠数量和配置方式实现不同的网络深度。ResNet18和ResNet34采用基础残差块（Basic Block），每个块包含两个3×3卷积层；而ResNet50、ResNet101和ResNet152采用瓶颈残差块（Bottleneck Block），通过1×1、3×3、1×1三个卷积层的组合实现通道数的先降维再升维，在保持表征能力的同时降低计算复杂度。</w:t>
      </w:r>
    </w:p>
    <w:p w14:paraId="4E08E447">
      <w:pPr>
        <w:ind w:firstLine="420"/>
      </w:pPr>
      <w:r>
        <w:t>具体而言，ResNet18包含18个带权重的层，参数量约为1,100万；ResNet34将深度扩展到34层，参数量约为2,100万；ResNet50通过引入瓶颈结构达到50层深度，参数量约为2,500万；ResNet101和ResNet152进一步增加残差块数量，参数量分别达到约4,450万和6,020万。这种阶梯式的深度设计为研究网络深度与性能的关系提供了完整的对比基准。</w:t>
      </w:r>
    </w:p>
    <w:p w14:paraId="7863FF17">
      <w:pPr>
        <w:ind w:firstLine="420"/>
      </w:pPr>
      <w:r>
        <w:t>各模型在网络结构上遵循相同的宏观设计：首先通过7×7卷积层和最大池化层进行初步特征提取，然后经过四个阶段的残差块堆叠，每个阶段的特征图空间尺寸逐步减半而通道数逐步增加，最后通过全局平均池化和全连接层输出分类结果。这种统一的设计框架确保了不同深度模型之间的可比性，使得实验结果能够直接反映深度因素的影响。</w:t>
      </w:r>
    </w:p>
    <w:p w14:paraId="53C3D8B8">
      <w:pPr>
        <w:keepNext/>
        <w:jc w:val="center"/>
      </w:pPr>
      <w:r>
        <w:rPr>
          <w:rFonts w:hint="eastAsia"/>
        </w:rPr>
        <w:drawing>
          <wp:inline distT="0" distB="0" distL="0" distR="0">
            <wp:extent cx="5274310" cy="2103120"/>
            <wp:effectExtent l="0" t="0" r="2540" b="0"/>
            <wp:docPr id="21202318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1819" name="图片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74680" cy="2103221"/>
                    </a:xfrm>
                    <a:prstGeom prst="rect">
                      <a:avLst/>
                    </a:prstGeom>
                  </pic:spPr>
                </pic:pic>
              </a:graphicData>
            </a:graphic>
          </wp:inline>
        </w:drawing>
      </w:r>
    </w:p>
    <w:p w14:paraId="3D53B9A2">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w:t>
      </w:r>
      <w:r>
        <w:fldChar w:fldCharType="end"/>
      </w:r>
      <w:r>
        <w:t>ResNet网络卷积结构图</w:t>
      </w:r>
    </w:p>
    <w:p w14:paraId="351EB268">
      <w:pPr>
        <w:keepNext/>
        <w:jc w:val="center"/>
      </w:pPr>
      <w:r>
        <w:rPr>
          <w:rFonts w:hint="eastAsia"/>
        </w:rPr>
        <w:drawing>
          <wp:inline distT="0" distB="0" distL="0" distR="0">
            <wp:extent cx="3042285" cy="5671185"/>
            <wp:effectExtent l="0" t="0" r="5715" b="5715"/>
            <wp:docPr id="11718069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06935" name="图片 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050071" cy="5685332"/>
                    </a:xfrm>
                    <a:prstGeom prst="rect">
                      <a:avLst/>
                    </a:prstGeom>
                  </pic:spPr>
                </pic:pic>
              </a:graphicData>
            </a:graphic>
          </wp:inline>
        </w:drawing>
      </w:r>
    </w:p>
    <w:p w14:paraId="532963A7">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2</w:t>
      </w:r>
      <w:r>
        <w:fldChar w:fldCharType="end"/>
      </w:r>
      <w:r>
        <w:t>ResNet18到152架构对比图</w:t>
      </w:r>
    </w:p>
    <w:p w14:paraId="7B19EE55">
      <w:pPr>
        <w:pStyle w:val="3"/>
      </w:pPr>
      <w:r>
        <w:t>实验结果</w:t>
      </w:r>
    </w:p>
    <w:p w14:paraId="7FE1FC30">
      <w:pPr>
        <w:pStyle w:val="4"/>
      </w:pPr>
      <w:r>
        <w:t>训练收敛特性</w:t>
      </w:r>
    </w:p>
    <w:p w14:paraId="6142AEA5">
      <w:pPr>
        <w:ind w:firstLine="420"/>
      </w:pPr>
      <w:r>
        <w:t>训练过程的收敛特性反映了不同深度模型的学习能力和优化难度。如表六所示，所有模型的训练准确率均随训练步数增加而稳步提升，呈现出良好的收敛趋势。在训练初期（Step 1406），ResNet34和ResNet50表现最佳，训练准确率均达到89.36%，略高于ResNet18的88.38%、ResNet101的89.24%以及ResNet152的89.28%。这表明中等深度模型在训练早期即具备较强的特征提取能力，能够快速学习到数据的基本模式。</w:t>
      </w:r>
    </w:p>
    <w:p w14:paraId="50AEE79F">
      <w:pPr>
        <w:pStyle w:val="6"/>
        <w:keepNext/>
        <w:jc w:val="cente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w:t>
      </w:r>
      <w:r>
        <w:fldChar w:fldCharType="end"/>
      </w:r>
      <w:r>
        <w:rPr>
          <w:rFonts w:hint="eastAsia"/>
        </w:rPr>
        <w:t>不同训练步数下各</w:t>
      </w:r>
      <w:r>
        <w:t>ResNet模型准确率对比</w:t>
      </w:r>
    </w:p>
    <w:tbl>
      <w:tblPr>
        <w:tblStyle w:val="16"/>
        <w:tblW w:w="5000" w:type="pct"/>
        <w:jc w:val="center"/>
        <w:tblLayout w:type="autofit"/>
        <w:tblCellMar>
          <w:top w:w="15" w:type="dxa"/>
          <w:left w:w="15" w:type="dxa"/>
          <w:bottom w:w="15" w:type="dxa"/>
          <w:right w:w="15" w:type="dxa"/>
        </w:tblCellMar>
      </w:tblPr>
      <w:tblGrid>
        <w:gridCol w:w="498"/>
        <w:gridCol w:w="995"/>
        <w:gridCol w:w="995"/>
        <w:gridCol w:w="995"/>
        <w:gridCol w:w="1059"/>
        <w:gridCol w:w="1059"/>
        <w:gridCol w:w="995"/>
        <w:gridCol w:w="995"/>
        <w:gridCol w:w="995"/>
        <w:gridCol w:w="1060"/>
        <w:gridCol w:w="1060"/>
      </w:tblGrid>
      <w:tr w14:paraId="6E43F54C">
        <w:tblPrEx>
          <w:tblCellMar>
            <w:top w:w="15" w:type="dxa"/>
            <w:left w:w="15" w:type="dxa"/>
            <w:bottom w:w="15" w:type="dxa"/>
            <w:right w:w="15" w:type="dxa"/>
          </w:tblCellMar>
        </w:tblPrEx>
        <w:trPr>
          <w:trHeight w:val="140" w:hRule="atLeast"/>
          <w:tblHeader/>
          <w:jc w:val="center"/>
        </w:trPr>
        <w:tc>
          <w:tcPr>
            <w:tcW w:w="233" w:type="pct"/>
            <w:tcBorders>
              <w:top w:val="nil"/>
            </w:tcBorders>
            <w:tcMar>
              <w:top w:w="150" w:type="dxa"/>
              <w:left w:w="0" w:type="dxa"/>
              <w:bottom w:w="150" w:type="dxa"/>
              <w:right w:w="240" w:type="dxa"/>
            </w:tcMar>
            <w:vAlign w:val="center"/>
          </w:tcPr>
          <w:p w14:paraId="6B688D62">
            <w:pPr>
              <w:jc w:val="center"/>
              <w:rPr>
                <w:rFonts w:ascii="宋体" w:hAnsi="宋体"/>
                <w:sz w:val="15"/>
                <w:szCs w:val="15"/>
              </w:rPr>
            </w:pPr>
            <w:r>
              <w:rPr>
                <w:rFonts w:ascii="宋体" w:hAnsi="宋体"/>
                <w:sz w:val="15"/>
                <w:szCs w:val="15"/>
              </w:rPr>
              <w:t>训练步数</w:t>
            </w:r>
          </w:p>
        </w:tc>
        <w:tc>
          <w:tcPr>
            <w:tcW w:w="465" w:type="pct"/>
            <w:tcBorders>
              <w:top w:val="nil"/>
            </w:tcBorders>
            <w:tcMar>
              <w:top w:w="150" w:type="dxa"/>
              <w:left w:w="240" w:type="dxa"/>
              <w:bottom w:w="150" w:type="dxa"/>
              <w:right w:w="240" w:type="dxa"/>
            </w:tcMar>
            <w:vAlign w:val="center"/>
          </w:tcPr>
          <w:p w14:paraId="56F6DC22">
            <w:pPr>
              <w:jc w:val="center"/>
              <w:rPr>
                <w:rFonts w:ascii="宋体" w:hAnsi="宋体"/>
                <w:sz w:val="15"/>
                <w:szCs w:val="15"/>
              </w:rPr>
            </w:pPr>
            <w:r>
              <w:rPr>
                <w:rFonts w:ascii="宋体" w:hAnsi="宋体"/>
                <w:sz w:val="15"/>
                <w:szCs w:val="15"/>
              </w:rPr>
              <w:t>ResNet18</w:t>
            </w:r>
          </w:p>
          <w:p w14:paraId="2504E908">
            <w:pPr>
              <w:jc w:val="center"/>
              <w:rPr>
                <w:rFonts w:ascii="宋体" w:hAnsi="宋体"/>
                <w:sz w:val="15"/>
                <w:szCs w:val="15"/>
              </w:rPr>
            </w:pPr>
            <w:r>
              <w:rPr>
                <w:rFonts w:ascii="宋体" w:hAnsi="宋体"/>
                <w:sz w:val="15"/>
                <w:szCs w:val="15"/>
              </w:rPr>
              <w:t>(训练)</w:t>
            </w:r>
          </w:p>
        </w:tc>
        <w:tc>
          <w:tcPr>
            <w:tcW w:w="465" w:type="pct"/>
            <w:tcBorders>
              <w:top w:val="nil"/>
            </w:tcBorders>
            <w:tcMar>
              <w:top w:w="150" w:type="dxa"/>
              <w:left w:w="240" w:type="dxa"/>
              <w:bottom w:w="150" w:type="dxa"/>
              <w:right w:w="240" w:type="dxa"/>
            </w:tcMar>
            <w:vAlign w:val="center"/>
          </w:tcPr>
          <w:p w14:paraId="6F95A192">
            <w:pPr>
              <w:jc w:val="center"/>
              <w:rPr>
                <w:rFonts w:ascii="宋体" w:hAnsi="宋体"/>
                <w:sz w:val="15"/>
                <w:szCs w:val="15"/>
              </w:rPr>
            </w:pPr>
            <w:r>
              <w:rPr>
                <w:rFonts w:ascii="宋体" w:hAnsi="宋体"/>
                <w:sz w:val="15"/>
                <w:szCs w:val="15"/>
              </w:rPr>
              <w:t>ResNet34</w:t>
            </w:r>
          </w:p>
          <w:p w14:paraId="486C9845">
            <w:pPr>
              <w:jc w:val="center"/>
              <w:rPr>
                <w:rFonts w:ascii="宋体" w:hAnsi="宋体"/>
                <w:sz w:val="15"/>
                <w:szCs w:val="15"/>
              </w:rPr>
            </w:pPr>
            <w:r>
              <w:rPr>
                <w:rFonts w:ascii="宋体" w:hAnsi="宋体"/>
                <w:sz w:val="15"/>
                <w:szCs w:val="15"/>
              </w:rPr>
              <w:t>(训练)</w:t>
            </w:r>
          </w:p>
        </w:tc>
        <w:tc>
          <w:tcPr>
            <w:tcW w:w="465" w:type="pct"/>
            <w:tcBorders>
              <w:top w:val="nil"/>
            </w:tcBorders>
            <w:tcMar>
              <w:top w:w="150" w:type="dxa"/>
              <w:left w:w="240" w:type="dxa"/>
              <w:bottom w:w="150" w:type="dxa"/>
              <w:right w:w="240" w:type="dxa"/>
            </w:tcMar>
            <w:vAlign w:val="center"/>
          </w:tcPr>
          <w:p w14:paraId="57EA9D69">
            <w:pPr>
              <w:jc w:val="center"/>
              <w:rPr>
                <w:rFonts w:ascii="宋体" w:hAnsi="宋体"/>
                <w:sz w:val="15"/>
                <w:szCs w:val="15"/>
              </w:rPr>
            </w:pPr>
            <w:r>
              <w:rPr>
                <w:rFonts w:ascii="宋体" w:hAnsi="宋体"/>
                <w:sz w:val="15"/>
                <w:szCs w:val="15"/>
              </w:rPr>
              <w:t>ResNet50</w:t>
            </w:r>
          </w:p>
          <w:p w14:paraId="091A6A08">
            <w:pPr>
              <w:jc w:val="center"/>
              <w:rPr>
                <w:rFonts w:ascii="宋体" w:hAnsi="宋体"/>
                <w:sz w:val="15"/>
                <w:szCs w:val="15"/>
              </w:rPr>
            </w:pPr>
            <w:r>
              <w:rPr>
                <w:rFonts w:ascii="宋体" w:hAnsi="宋体"/>
                <w:sz w:val="15"/>
                <w:szCs w:val="15"/>
              </w:rPr>
              <w:t>(训练)</w:t>
            </w:r>
          </w:p>
        </w:tc>
        <w:tc>
          <w:tcPr>
            <w:tcW w:w="495" w:type="pct"/>
            <w:tcBorders>
              <w:top w:val="nil"/>
            </w:tcBorders>
            <w:tcMar>
              <w:top w:w="150" w:type="dxa"/>
              <w:left w:w="240" w:type="dxa"/>
              <w:bottom w:w="150" w:type="dxa"/>
              <w:right w:w="240" w:type="dxa"/>
            </w:tcMar>
            <w:vAlign w:val="center"/>
          </w:tcPr>
          <w:p w14:paraId="795E8D99">
            <w:pPr>
              <w:jc w:val="center"/>
              <w:rPr>
                <w:rFonts w:ascii="宋体" w:hAnsi="宋体"/>
                <w:sz w:val="15"/>
                <w:szCs w:val="15"/>
              </w:rPr>
            </w:pPr>
            <w:r>
              <w:rPr>
                <w:rFonts w:ascii="宋体" w:hAnsi="宋体"/>
                <w:sz w:val="15"/>
                <w:szCs w:val="15"/>
              </w:rPr>
              <w:t>ResNet101</w:t>
            </w:r>
          </w:p>
          <w:p w14:paraId="55627C03">
            <w:pPr>
              <w:jc w:val="center"/>
              <w:rPr>
                <w:rFonts w:ascii="宋体" w:hAnsi="宋体"/>
                <w:sz w:val="15"/>
                <w:szCs w:val="15"/>
              </w:rPr>
            </w:pPr>
            <w:r>
              <w:rPr>
                <w:rFonts w:ascii="宋体" w:hAnsi="宋体"/>
                <w:sz w:val="15"/>
                <w:szCs w:val="15"/>
              </w:rPr>
              <w:t>(训练)</w:t>
            </w:r>
          </w:p>
        </w:tc>
        <w:tc>
          <w:tcPr>
            <w:tcW w:w="495" w:type="pct"/>
            <w:tcBorders>
              <w:top w:val="nil"/>
            </w:tcBorders>
            <w:tcMar>
              <w:top w:w="150" w:type="dxa"/>
              <w:left w:w="240" w:type="dxa"/>
              <w:bottom w:w="150" w:type="dxa"/>
              <w:right w:w="240" w:type="dxa"/>
            </w:tcMar>
            <w:vAlign w:val="center"/>
          </w:tcPr>
          <w:p w14:paraId="19426D8B">
            <w:pPr>
              <w:jc w:val="center"/>
              <w:rPr>
                <w:rFonts w:ascii="宋体" w:hAnsi="宋体"/>
                <w:sz w:val="15"/>
                <w:szCs w:val="15"/>
              </w:rPr>
            </w:pPr>
            <w:r>
              <w:rPr>
                <w:rFonts w:ascii="宋体" w:hAnsi="宋体"/>
                <w:sz w:val="15"/>
                <w:szCs w:val="15"/>
              </w:rPr>
              <w:t>ResNet152</w:t>
            </w:r>
          </w:p>
          <w:p w14:paraId="3E3C6764">
            <w:pPr>
              <w:jc w:val="center"/>
              <w:rPr>
                <w:rFonts w:ascii="宋体" w:hAnsi="宋体"/>
                <w:sz w:val="15"/>
                <w:szCs w:val="15"/>
              </w:rPr>
            </w:pPr>
            <w:r>
              <w:rPr>
                <w:rFonts w:ascii="宋体" w:hAnsi="宋体"/>
                <w:sz w:val="15"/>
                <w:szCs w:val="15"/>
              </w:rPr>
              <w:t>(训练)</w:t>
            </w:r>
          </w:p>
        </w:tc>
        <w:tc>
          <w:tcPr>
            <w:tcW w:w="465" w:type="pct"/>
            <w:tcBorders>
              <w:top w:val="nil"/>
            </w:tcBorders>
            <w:tcMar>
              <w:top w:w="150" w:type="dxa"/>
              <w:left w:w="240" w:type="dxa"/>
              <w:bottom w:w="150" w:type="dxa"/>
              <w:right w:w="240" w:type="dxa"/>
            </w:tcMar>
            <w:vAlign w:val="center"/>
          </w:tcPr>
          <w:p w14:paraId="3D88E27A">
            <w:pPr>
              <w:jc w:val="center"/>
              <w:rPr>
                <w:rFonts w:ascii="宋体" w:hAnsi="宋体"/>
                <w:sz w:val="15"/>
                <w:szCs w:val="15"/>
              </w:rPr>
            </w:pPr>
            <w:r>
              <w:rPr>
                <w:rFonts w:ascii="宋体" w:hAnsi="宋体"/>
                <w:sz w:val="15"/>
                <w:szCs w:val="15"/>
              </w:rPr>
              <w:t>ResNet18</w:t>
            </w:r>
          </w:p>
          <w:p w14:paraId="2E573B2D">
            <w:pPr>
              <w:jc w:val="center"/>
              <w:rPr>
                <w:rFonts w:ascii="宋体" w:hAnsi="宋体"/>
                <w:sz w:val="15"/>
                <w:szCs w:val="15"/>
              </w:rPr>
            </w:pPr>
            <w:r>
              <w:rPr>
                <w:rFonts w:ascii="宋体" w:hAnsi="宋体"/>
                <w:sz w:val="15"/>
                <w:szCs w:val="15"/>
              </w:rPr>
              <w:t>(验证)</w:t>
            </w:r>
          </w:p>
        </w:tc>
        <w:tc>
          <w:tcPr>
            <w:tcW w:w="465" w:type="pct"/>
            <w:tcBorders>
              <w:top w:val="nil"/>
            </w:tcBorders>
            <w:tcMar>
              <w:top w:w="150" w:type="dxa"/>
              <w:left w:w="240" w:type="dxa"/>
              <w:bottom w:w="150" w:type="dxa"/>
              <w:right w:w="240" w:type="dxa"/>
            </w:tcMar>
            <w:vAlign w:val="center"/>
          </w:tcPr>
          <w:p w14:paraId="11D8C189">
            <w:pPr>
              <w:jc w:val="center"/>
              <w:rPr>
                <w:rFonts w:ascii="宋体" w:hAnsi="宋体"/>
                <w:sz w:val="15"/>
                <w:szCs w:val="15"/>
              </w:rPr>
            </w:pPr>
            <w:r>
              <w:rPr>
                <w:rFonts w:ascii="宋体" w:hAnsi="宋体"/>
                <w:sz w:val="15"/>
                <w:szCs w:val="15"/>
              </w:rPr>
              <w:t>ResNet34</w:t>
            </w:r>
          </w:p>
          <w:p w14:paraId="6385EAA3">
            <w:pPr>
              <w:jc w:val="center"/>
              <w:rPr>
                <w:rFonts w:ascii="宋体" w:hAnsi="宋体"/>
                <w:sz w:val="15"/>
                <w:szCs w:val="15"/>
              </w:rPr>
            </w:pPr>
            <w:r>
              <w:rPr>
                <w:rFonts w:ascii="宋体" w:hAnsi="宋体"/>
                <w:sz w:val="15"/>
                <w:szCs w:val="15"/>
              </w:rPr>
              <w:t>(验证)</w:t>
            </w:r>
          </w:p>
        </w:tc>
        <w:tc>
          <w:tcPr>
            <w:tcW w:w="465" w:type="pct"/>
            <w:tcBorders>
              <w:top w:val="nil"/>
            </w:tcBorders>
            <w:tcMar>
              <w:top w:w="150" w:type="dxa"/>
              <w:left w:w="240" w:type="dxa"/>
              <w:bottom w:w="150" w:type="dxa"/>
              <w:right w:w="240" w:type="dxa"/>
            </w:tcMar>
            <w:vAlign w:val="center"/>
          </w:tcPr>
          <w:p w14:paraId="6E54F205">
            <w:pPr>
              <w:jc w:val="center"/>
              <w:rPr>
                <w:rFonts w:ascii="宋体" w:hAnsi="宋体"/>
                <w:sz w:val="15"/>
                <w:szCs w:val="15"/>
              </w:rPr>
            </w:pPr>
            <w:r>
              <w:rPr>
                <w:rFonts w:ascii="宋体" w:hAnsi="宋体"/>
                <w:sz w:val="15"/>
                <w:szCs w:val="15"/>
              </w:rPr>
              <w:t>ResNet50</w:t>
            </w:r>
          </w:p>
          <w:p w14:paraId="23875F62">
            <w:pPr>
              <w:jc w:val="center"/>
              <w:rPr>
                <w:rFonts w:ascii="宋体" w:hAnsi="宋体"/>
                <w:sz w:val="15"/>
                <w:szCs w:val="15"/>
              </w:rPr>
            </w:pPr>
            <w:r>
              <w:rPr>
                <w:rFonts w:ascii="宋体" w:hAnsi="宋体"/>
                <w:sz w:val="15"/>
                <w:szCs w:val="15"/>
              </w:rPr>
              <w:t>(验证)</w:t>
            </w:r>
          </w:p>
        </w:tc>
        <w:tc>
          <w:tcPr>
            <w:tcW w:w="495" w:type="pct"/>
            <w:tcBorders>
              <w:top w:val="nil"/>
            </w:tcBorders>
            <w:tcMar>
              <w:top w:w="150" w:type="dxa"/>
              <w:left w:w="240" w:type="dxa"/>
              <w:bottom w:w="150" w:type="dxa"/>
              <w:right w:w="240" w:type="dxa"/>
            </w:tcMar>
            <w:vAlign w:val="center"/>
          </w:tcPr>
          <w:p w14:paraId="5E52DA49">
            <w:pPr>
              <w:jc w:val="center"/>
              <w:rPr>
                <w:rFonts w:ascii="宋体" w:hAnsi="宋体"/>
                <w:sz w:val="15"/>
                <w:szCs w:val="15"/>
              </w:rPr>
            </w:pPr>
            <w:r>
              <w:rPr>
                <w:rFonts w:ascii="宋体" w:hAnsi="宋体"/>
                <w:sz w:val="15"/>
                <w:szCs w:val="15"/>
              </w:rPr>
              <w:t>ResNet101</w:t>
            </w:r>
          </w:p>
          <w:p w14:paraId="1B630939">
            <w:pPr>
              <w:jc w:val="center"/>
              <w:rPr>
                <w:rFonts w:ascii="宋体" w:hAnsi="宋体"/>
                <w:sz w:val="15"/>
                <w:szCs w:val="15"/>
              </w:rPr>
            </w:pPr>
            <w:r>
              <w:rPr>
                <w:rFonts w:ascii="宋体" w:hAnsi="宋体"/>
                <w:sz w:val="15"/>
                <w:szCs w:val="15"/>
              </w:rPr>
              <w:t>(验证)</w:t>
            </w:r>
          </w:p>
        </w:tc>
        <w:tc>
          <w:tcPr>
            <w:tcW w:w="495" w:type="pct"/>
            <w:tcBorders>
              <w:top w:val="nil"/>
            </w:tcBorders>
            <w:tcMar>
              <w:top w:w="150" w:type="dxa"/>
              <w:left w:w="240" w:type="dxa"/>
              <w:bottom w:w="150" w:type="dxa"/>
              <w:right w:w="240" w:type="dxa"/>
            </w:tcMar>
            <w:vAlign w:val="center"/>
          </w:tcPr>
          <w:p w14:paraId="01C89CE9">
            <w:pPr>
              <w:jc w:val="center"/>
              <w:rPr>
                <w:rFonts w:ascii="宋体" w:hAnsi="宋体"/>
                <w:sz w:val="15"/>
                <w:szCs w:val="15"/>
              </w:rPr>
            </w:pPr>
            <w:r>
              <w:rPr>
                <w:rFonts w:ascii="宋体" w:hAnsi="宋体"/>
                <w:sz w:val="15"/>
                <w:szCs w:val="15"/>
              </w:rPr>
              <w:t>ResNet152</w:t>
            </w:r>
          </w:p>
          <w:p w14:paraId="41658249">
            <w:pPr>
              <w:jc w:val="center"/>
              <w:rPr>
                <w:rFonts w:ascii="宋体" w:hAnsi="宋体"/>
                <w:sz w:val="15"/>
                <w:szCs w:val="15"/>
              </w:rPr>
            </w:pPr>
            <w:r>
              <w:rPr>
                <w:rFonts w:ascii="宋体" w:hAnsi="宋体"/>
                <w:sz w:val="15"/>
                <w:szCs w:val="15"/>
              </w:rPr>
              <w:t>(验证)</w:t>
            </w:r>
          </w:p>
        </w:tc>
      </w:tr>
      <w:tr w14:paraId="6ADCEAF4">
        <w:tblPrEx>
          <w:tblCellMar>
            <w:top w:w="15" w:type="dxa"/>
            <w:left w:w="15" w:type="dxa"/>
            <w:bottom w:w="15" w:type="dxa"/>
            <w:right w:w="15" w:type="dxa"/>
          </w:tblCellMar>
        </w:tblPrEx>
        <w:trPr>
          <w:trHeight w:val="482" w:hRule="atLeast"/>
          <w:jc w:val="center"/>
        </w:trPr>
        <w:tc>
          <w:tcPr>
            <w:tcW w:w="233" w:type="pct"/>
            <w:tcMar>
              <w:top w:w="150" w:type="dxa"/>
              <w:left w:w="0" w:type="dxa"/>
              <w:bottom w:w="150" w:type="dxa"/>
              <w:right w:w="240" w:type="dxa"/>
            </w:tcMar>
            <w:vAlign w:val="center"/>
          </w:tcPr>
          <w:p w14:paraId="40264917">
            <w:pPr>
              <w:jc w:val="center"/>
              <w:rPr>
                <w:rFonts w:ascii="宋体" w:hAnsi="宋体"/>
                <w:sz w:val="15"/>
                <w:szCs w:val="15"/>
              </w:rPr>
            </w:pPr>
            <w:r>
              <w:rPr>
                <w:rFonts w:ascii="宋体" w:hAnsi="宋体"/>
                <w:sz w:val="15"/>
                <w:szCs w:val="15"/>
              </w:rPr>
              <w:t>1406</w:t>
            </w:r>
          </w:p>
        </w:tc>
        <w:tc>
          <w:tcPr>
            <w:tcW w:w="465" w:type="pct"/>
            <w:tcMar>
              <w:top w:w="150" w:type="dxa"/>
              <w:left w:w="240" w:type="dxa"/>
              <w:bottom w:w="150" w:type="dxa"/>
              <w:right w:w="240" w:type="dxa"/>
            </w:tcMar>
            <w:vAlign w:val="center"/>
          </w:tcPr>
          <w:p w14:paraId="17CEC12A">
            <w:pPr>
              <w:jc w:val="center"/>
              <w:rPr>
                <w:rFonts w:ascii="宋体" w:hAnsi="宋体"/>
                <w:sz w:val="15"/>
                <w:szCs w:val="15"/>
              </w:rPr>
            </w:pPr>
            <w:r>
              <w:rPr>
                <w:rFonts w:ascii="宋体" w:hAnsi="宋体"/>
                <w:sz w:val="15"/>
                <w:szCs w:val="15"/>
              </w:rPr>
              <w:t>88.38</w:t>
            </w:r>
          </w:p>
        </w:tc>
        <w:tc>
          <w:tcPr>
            <w:tcW w:w="465" w:type="pct"/>
            <w:tcMar>
              <w:top w:w="150" w:type="dxa"/>
              <w:left w:w="240" w:type="dxa"/>
              <w:bottom w:w="150" w:type="dxa"/>
              <w:right w:w="240" w:type="dxa"/>
            </w:tcMar>
            <w:vAlign w:val="center"/>
          </w:tcPr>
          <w:p w14:paraId="71D51882">
            <w:pPr>
              <w:jc w:val="center"/>
              <w:rPr>
                <w:rFonts w:ascii="宋体" w:hAnsi="宋体"/>
                <w:sz w:val="15"/>
                <w:szCs w:val="15"/>
              </w:rPr>
            </w:pPr>
            <w:r>
              <w:rPr>
                <w:rFonts w:ascii="宋体" w:hAnsi="宋体"/>
                <w:sz w:val="15"/>
                <w:szCs w:val="15"/>
              </w:rPr>
              <w:t>89.36*</w:t>
            </w:r>
          </w:p>
        </w:tc>
        <w:tc>
          <w:tcPr>
            <w:tcW w:w="465" w:type="pct"/>
            <w:tcMar>
              <w:top w:w="150" w:type="dxa"/>
              <w:left w:w="240" w:type="dxa"/>
              <w:bottom w:w="150" w:type="dxa"/>
              <w:right w:w="240" w:type="dxa"/>
            </w:tcMar>
            <w:vAlign w:val="center"/>
          </w:tcPr>
          <w:p w14:paraId="171A3288">
            <w:pPr>
              <w:jc w:val="center"/>
              <w:rPr>
                <w:rFonts w:ascii="宋体" w:hAnsi="宋体"/>
                <w:sz w:val="15"/>
                <w:szCs w:val="15"/>
              </w:rPr>
            </w:pPr>
            <w:r>
              <w:rPr>
                <w:rFonts w:ascii="宋体" w:hAnsi="宋体"/>
                <w:sz w:val="15"/>
                <w:szCs w:val="15"/>
              </w:rPr>
              <w:t>89.36</w:t>
            </w:r>
          </w:p>
        </w:tc>
        <w:tc>
          <w:tcPr>
            <w:tcW w:w="495" w:type="pct"/>
            <w:tcMar>
              <w:top w:w="150" w:type="dxa"/>
              <w:left w:w="240" w:type="dxa"/>
              <w:bottom w:w="150" w:type="dxa"/>
              <w:right w:w="240" w:type="dxa"/>
            </w:tcMar>
            <w:vAlign w:val="center"/>
          </w:tcPr>
          <w:p w14:paraId="63115642">
            <w:pPr>
              <w:jc w:val="center"/>
              <w:rPr>
                <w:rFonts w:ascii="宋体" w:hAnsi="宋体"/>
                <w:sz w:val="15"/>
                <w:szCs w:val="15"/>
              </w:rPr>
            </w:pPr>
            <w:r>
              <w:rPr>
                <w:rFonts w:ascii="宋体" w:hAnsi="宋体"/>
                <w:sz w:val="15"/>
                <w:szCs w:val="15"/>
              </w:rPr>
              <w:t>89.24</w:t>
            </w:r>
          </w:p>
        </w:tc>
        <w:tc>
          <w:tcPr>
            <w:tcW w:w="495" w:type="pct"/>
            <w:tcMar>
              <w:top w:w="150" w:type="dxa"/>
              <w:left w:w="240" w:type="dxa"/>
              <w:bottom w:w="150" w:type="dxa"/>
              <w:right w:w="240" w:type="dxa"/>
            </w:tcMar>
            <w:vAlign w:val="center"/>
          </w:tcPr>
          <w:p w14:paraId="2B270D6D">
            <w:pPr>
              <w:jc w:val="center"/>
              <w:rPr>
                <w:rFonts w:ascii="宋体" w:hAnsi="宋体"/>
                <w:sz w:val="15"/>
                <w:szCs w:val="15"/>
              </w:rPr>
            </w:pPr>
            <w:r>
              <w:rPr>
                <w:rFonts w:ascii="宋体" w:hAnsi="宋体"/>
                <w:sz w:val="15"/>
                <w:szCs w:val="15"/>
              </w:rPr>
              <w:t>89.28</w:t>
            </w:r>
          </w:p>
        </w:tc>
        <w:tc>
          <w:tcPr>
            <w:tcW w:w="465" w:type="pct"/>
            <w:tcMar>
              <w:top w:w="150" w:type="dxa"/>
              <w:left w:w="240" w:type="dxa"/>
              <w:bottom w:w="150" w:type="dxa"/>
              <w:right w:w="240" w:type="dxa"/>
            </w:tcMar>
            <w:vAlign w:val="center"/>
          </w:tcPr>
          <w:p w14:paraId="143AD436">
            <w:pPr>
              <w:jc w:val="center"/>
              <w:rPr>
                <w:rFonts w:ascii="宋体" w:hAnsi="宋体"/>
                <w:sz w:val="15"/>
                <w:szCs w:val="15"/>
              </w:rPr>
            </w:pPr>
            <w:r>
              <w:rPr>
                <w:rFonts w:ascii="宋体" w:hAnsi="宋体"/>
                <w:sz w:val="15"/>
                <w:szCs w:val="15"/>
              </w:rPr>
              <w:t>93.16</w:t>
            </w:r>
          </w:p>
        </w:tc>
        <w:tc>
          <w:tcPr>
            <w:tcW w:w="465" w:type="pct"/>
            <w:tcMar>
              <w:top w:w="150" w:type="dxa"/>
              <w:left w:w="240" w:type="dxa"/>
              <w:bottom w:w="150" w:type="dxa"/>
              <w:right w:w="240" w:type="dxa"/>
            </w:tcMar>
            <w:vAlign w:val="center"/>
          </w:tcPr>
          <w:p w14:paraId="2FEBC547">
            <w:pPr>
              <w:jc w:val="center"/>
              <w:rPr>
                <w:rFonts w:ascii="宋体" w:hAnsi="宋体"/>
                <w:sz w:val="15"/>
                <w:szCs w:val="15"/>
              </w:rPr>
            </w:pPr>
            <w:r>
              <w:rPr>
                <w:rFonts w:ascii="宋体" w:hAnsi="宋体"/>
                <w:sz w:val="15"/>
                <w:szCs w:val="15"/>
              </w:rPr>
              <w:t>93.36</w:t>
            </w:r>
          </w:p>
        </w:tc>
        <w:tc>
          <w:tcPr>
            <w:tcW w:w="465" w:type="pct"/>
            <w:tcMar>
              <w:top w:w="150" w:type="dxa"/>
              <w:left w:w="240" w:type="dxa"/>
              <w:bottom w:w="150" w:type="dxa"/>
              <w:right w:w="240" w:type="dxa"/>
            </w:tcMar>
            <w:vAlign w:val="center"/>
          </w:tcPr>
          <w:p w14:paraId="02FC0E56">
            <w:pPr>
              <w:jc w:val="center"/>
              <w:rPr>
                <w:rFonts w:ascii="宋体" w:hAnsi="宋体"/>
                <w:sz w:val="15"/>
                <w:szCs w:val="15"/>
              </w:rPr>
            </w:pPr>
            <w:r>
              <w:rPr>
                <w:rFonts w:ascii="宋体" w:hAnsi="宋体"/>
                <w:sz w:val="15"/>
                <w:szCs w:val="15"/>
              </w:rPr>
              <w:t>93.76</w:t>
            </w:r>
          </w:p>
        </w:tc>
        <w:tc>
          <w:tcPr>
            <w:tcW w:w="495" w:type="pct"/>
            <w:tcMar>
              <w:top w:w="150" w:type="dxa"/>
              <w:left w:w="240" w:type="dxa"/>
              <w:bottom w:w="150" w:type="dxa"/>
              <w:right w:w="240" w:type="dxa"/>
            </w:tcMar>
            <w:vAlign w:val="center"/>
          </w:tcPr>
          <w:p w14:paraId="1ABEAF0B">
            <w:pPr>
              <w:jc w:val="center"/>
              <w:rPr>
                <w:rFonts w:ascii="宋体" w:hAnsi="宋体"/>
                <w:sz w:val="15"/>
                <w:szCs w:val="15"/>
              </w:rPr>
            </w:pPr>
            <w:r>
              <w:rPr>
                <w:rFonts w:ascii="宋体" w:hAnsi="宋体"/>
                <w:sz w:val="15"/>
                <w:szCs w:val="15"/>
              </w:rPr>
              <w:t>93.96</w:t>
            </w:r>
          </w:p>
        </w:tc>
        <w:tc>
          <w:tcPr>
            <w:tcW w:w="495" w:type="pct"/>
            <w:tcMar>
              <w:top w:w="150" w:type="dxa"/>
              <w:left w:w="240" w:type="dxa"/>
              <w:bottom w:w="150" w:type="dxa"/>
              <w:right w:w="0" w:type="dxa"/>
            </w:tcMar>
            <w:vAlign w:val="center"/>
          </w:tcPr>
          <w:p w14:paraId="204DFC83">
            <w:pPr>
              <w:jc w:val="center"/>
              <w:rPr>
                <w:rFonts w:ascii="宋体" w:hAnsi="宋体"/>
                <w:sz w:val="15"/>
                <w:szCs w:val="15"/>
              </w:rPr>
            </w:pPr>
            <w:r>
              <w:rPr>
                <w:rFonts w:ascii="宋体" w:hAnsi="宋体"/>
                <w:sz w:val="15"/>
                <w:szCs w:val="15"/>
              </w:rPr>
              <w:t>92.24</w:t>
            </w:r>
          </w:p>
        </w:tc>
      </w:tr>
      <w:tr w14:paraId="4038C6F3">
        <w:tblPrEx>
          <w:tblCellMar>
            <w:top w:w="15" w:type="dxa"/>
            <w:left w:w="15" w:type="dxa"/>
            <w:bottom w:w="15" w:type="dxa"/>
            <w:right w:w="15" w:type="dxa"/>
          </w:tblCellMar>
        </w:tblPrEx>
        <w:trPr>
          <w:trHeight w:val="27" w:hRule="atLeast"/>
          <w:jc w:val="center"/>
        </w:trPr>
        <w:tc>
          <w:tcPr>
            <w:tcW w:w="233" w:type="pct"/>
            <w:tcMar>
              <w:top w:w="150" w:type="dxa"/>
              <w:left w:w="0" w:type="dxa"/>
              <w:bottom w:w="150" w:type="dxa"/>
              <w:right w:w="240" w:type="dxa"/>
            </w:tcMar>
            <w:vAlign w:val="center"/>
          </w:tcPr>
          <w:p w14:paraId="382E89C7">
            <w:pPr>
              <w:jc w:val="center"/>
              <w:rPr>
                <w:rFonts w:ascii="宋体" w:hAnsi="宋体"/>
                <w:sz w:val="15"/>
                <w:szCs w:val="15"/>
              </w:rPr>
            </w:pPr>
            <w:r>
              <w:rPr>
                <w:rFonts w:ascii="宋体" w:hAnsi="宋体"/>
                <w:sz w:val="15"/>
                <w:szCs w:val="15"/>
              </w:rPr>
              <w:t>2813</w:t>
            </w:r>
          </w:p>
        </w:tc>
        <w:tc>
          <w:tcPr>
            <w:tcW w:w="465" w:type="pct"/>
            <w:tcMar>
              <w:top w:w="150" w:type="dxa"/>
              <w:left w:w="240" w:type="dxa"/>
              <w:bottom w:w="150" w:type="dxa"/>
              <w:right w:w="240" w:type="dxa"/>
            </w:tcMar>
            <w:vAlign w:val="center"/>
          </w:tcPr>
          <w:p w14:paraId="6C6869F0">
            <w:pPr>
              <w:jc w:val="center"/>
              <w:rPr>
                <w:rFonts w:ascii="宋体" w:hAnsi="宋体"/>
                <w:sz w:val="15"/>
                <w:szCs w:val="15"/>
              </w:rPr>
            </w:pPr>
            <w:r>
              <w:rPr>
                <w:rFonts w:ascii="宋体" w:hAnsi="宋体"/>
                <w:sz w:val="15"/>
                <w:szCs w:val="15"/>
              </w:rPr>
              <w:t>95.70</w:t>
            </w:r>
          </w:p>
        </w:tc>
        <w:tc>
          <w:tcPr>
            <w:tcW w:w="465" w:type="pct"/>
            <w:tcMar>
              <w:top w:w="150" w:type="dxa"/>
              <w:left w:w="240" w:type="dxa"/>
              <w:bottom w:w="150" w:type="dxa"/>
              <w:right w:w="240" w:type="dxa"/>
            </w:tcMar>
            <w:vAlign w:val="center"/>
          </w:tcPr>
          <w:p w14:paraId="7CB5036F">
            <w:pPr>
              <w:jc w:val="center"/>
              <w:rPr>
                <w:rFonts w:ascii="宋体" w:hAnsi="宋体"/>
                <w:sz w:val="15"/>
                <w:szCs w:val="15"/>
              </w:rPr>
            </w:pPr>
            <w:r>
              <w:rPr>
                <w:rFonts w:ascii="宋体" w:hAnsi="宋体"/>
                <w:sz w:val="15"/>
                <w:szCs w:val="15"/>
              </w:rPr>
              <w:t>95.42*</w:t>
            </w:r>
          </w:p>
        </w:tc>
        <w:tc>
          <w:tcPr>
            <w:tcW w:w="465" w:type="pct"/>
            <w:tcMar>
              <w:top w:w="150" w:type="dxa"/>
              <w:left w:w="240" w:type="dxa"/>
              <w:bottom w:w="150" w:type="dxa"/>
              <w:right w:w="240" w:type="dxa"/>
            </w:tcMar>
            <w:vAlign w:val="center"/>
          </w:tcPr>
          <w:p w14:paraId="4751C537">
            <w:pPr>
              <w:jc w:val="center"/>
              <w:rPr>
                <w:rFonts w:ascii="宋体" w:hAnsi="宋体"/>
                <w:sz w:val="15"/>
                <w:szCs w:val="15"/>
              </w:rPr>
            </w:pPr>
            <w:r>
              <w:rPr>
                <w:rFonts w:ascii="宋体" w:hAnsi="宋体"/>
                <w:sz w:val="15"/>
                <w:szCs w:val="15"/>
              </w:rPr>
              <w:t>95.26</w:t>
            </w:r>
          </w:p>
        </w:tc>
        <w:tc>
          <w:tcPr>
            <w:tcW w:w="495" w:type="pct"/>
            <w:tcMar>
              <w:top w:w="150" w:type="dxa"/>
              <w:left w:w="240" w:type="dxa"/>
              <w:bottom w:w="150" w:type="dxa"/>
              <w:right w:w="240" w:type="dxa"/>
            </w:tcMar>
            <w:vAlign w:val="center"/>
          </w:tcPr>
          <w:p w14:paraId="2707AD9E">
            <w:pPr>
              <w:jc w:val="center"/>
              <w:rPr>
                <w:rFonts w:ascii="宋体" w:hAnsi="宋体"/>
                <w:sz w:val="15"/>
                <w:szCs w:val="15"/>
              </w:rPr>
            </w:pPr>
            <w:r>
              <w:rPr>
                <w:rFonts w:ascii="宋体" w:hAnsi="宋体"/>
                <w:sz w:val="15"/>
                <w:szCs w:val="15"/>
              </w:rPr>
              <w:t>94.75</w:t>
            </w:r>
          </w:p>
        </w:tc>
        <w:tc>
          <w:tcPr>
            <w:tcW w:w="495" w:type="pct"/>
            <w:tcMar>
              <w:top w:w="150" w:type="dxa"/>
              <w:left w:w="240" w:type="dxa"/>
              <w:bottom w:w="150" w:type="dxa"/>
              <w:right w:w="240" w:type="dxa"/>
            </w:tcMar>
            <w:vAlign w:val="center"/>
          </w:tcPr>
          <w:p w14:paraId="6C9C49AF">
            <w:pPr>
              <w:jc w:val="center"/>
              <w:rPr>
                <w:rFonts w:ascii="宋体" w:hAnsi="宋体"/>
                <w:sz w:val="15"/>
                <w:szCs w:val="15"/>
              </w:rPr>
            </w:pPr>
            <w:r>
              <w:rPr>
                <w:rFonts w:ascii="宋体" w:hAnsi="宋体"/>
                <w:sz w:val="15"/>
                <w:szCs w:val="15"/>
              </w:rPr>
              <w:t>94.57</w:t>
            </w:r>
          </w:p>
        </w:tc>
        <w:tc>
          <w:tcPr>
            <w:tcW w:w="465" w:type="pct"/>
            <w:tcMar>
              <w:top w:w="150" w:type="dxa"/>
              <w:left w:w="240" w:type="dxa"/>
              <w:bottom w:w="150" w:type="dxa"/>
              <w:right w:w="240" w:type="dxa"/>
            </w:tcMar>
            <w:vAlign w:val="center"/>
          </w:tcPr>
          <w:p w14:paraId="42C39CC2">
            <w:pPr>
              <w:jc w:val="center"/>
              <w:rPr>
                <w:rFonts w:ascii="宋体" w:hAnsi="宋体"/>
                <w:sz w:val="15"/>
                <w:szCs w:val="15"/>
              </w:rPr>
            </w:pPr>
            <w:r>
              <w:rPr>
                <w:rFonts w:ascii="宋体" w:hAnsi="宋体"/>
                <w:sz w:val="15"/>
                <w:szCs w:val="15"/>
              </w:rPr>
              <w:t>93.64</w:t>
            </w:r>
          </w:p>
        </w:tc>
        <w:tc>
          <w:tcPr>
            <w:tcW w:w="465" w:type="pct"/>
            <w:tcMar>
              <w:top w:w="150" w:type="dxa"/>
              <w:left w:w="240" w:type="dxa"/>
              <w:bottom w:w="150" w:type="dxa"/>
              <w:right w:w="240" w:type="dxa"/>
            </w:tcMar>
            <w:vAlign w:val="center"/>
          </w:tcPr>
          <w:p w14:paraId="6561A4C0">
            <w:pPr>
              <w:jc w:val="center"/>
              <w:rPr>
                <w:rFonts w:ascii="宋体" w:hAnsi="宋体"/>
                <w:sz w:val="15"/>
                <w:szCs w:val="15"/>
              </w:rPr>
            </w:pPr>
            <w:r>
              <w:rPr>
                <w:rFonts w:ascii="宋体" w:hAnsi="宋体"/>
                <w:sz w:val="15"/>
                <w:szCs w:val="15"/>
              </w:rPr>
              <w:t>94.22</w:t>
            </w:r>
          </w:p>
        </w:tc>
        <w:tc>
          <w:tcPr>
            <w:tcW w:w="465" w:type="pct"/>
            <w:tcMar>
              <w:top w:w="150" w:type="dxa"/>
              <w:left w:w="240" w:type="dxa"/>
              <w:bottom w:w="150" w:type="dxa"/>
              <w:right w:w="240" w:type="dxa"/>
            </w:tcMar>
            <w:vAlign w:val="center"/>
          </w:tcPr>
          <w:p w14:paraId="6DFA57A1">
            <w:pPr>
              <w:jc w:val="center"/>
              <w:rPr>
                <w:rFonts w:ascii="宋体" w:hAnsi="宋体"/>
                <w:sz w:val="15"/>
                <w:szCs w:val="15"/>
              </w:rPr>
            </w:pPr>
            <w:r>
              <w:rPr>
                <w:rFonts w:ascii="宋体" w:hAnsi="宋体"/>
                <w:sz w:val="15"/>
                <w:szCs w:val="15"/>
              </w:rPr>
              <w:t>94.24</w:t>
            </w:r>
          </w:p>
        </w:tc>
        <w:tc>
          <w:tcPr>
            <w:tcW w:w="495" w:type="pct"/>
            <w:tcMar>
              <w:top w:w="150" w:type="dxa"/>
              <w:left w:w="240" w:type="dxa"/>
              <w:bottom w:w="150" w:type="dxa"/>
              <w:right w:w="240" w:type="dxa"/>
            </w:tcMar>
            <w:vAlign w:val="center"/>
          </w:tcPr>
          <w:p w14:paraId="38009B53">
            <w:pPr>
              <w:jc w:val="center"/>
              <w:rPr>
                <w:rFonts w:ascii="宋体" w:hAnsi="宋体"/>
                <w:sz w:val="15"/>
                <w:szCs w:val="15"/>
              </w:rPr>
            </w:pPr>
            <w:r>
              <w:rPr>
                <w:rFonts w:ascii="宋体" w:hAnsi="宋体"/>
                <w:sz w:val="15"/>
                <w:szCs w:val="15"/>
              </w:rPr>
              <w:t>92.76</w:t>
            </w:r>
          </w:p>
        </w:tc>
        <w:tc>
          <w:tcPr>
            <w:tcW w:w="495" w:type="pct"/>
            <w:tcMar>
              <w:top w:w="150" w:type="dxa"/>
              <w:left w:w="240" w:type="dxa"/>
              <w:bottom w:w="150" w:type="dxa"/>
              <w:right w:w="0" w:type="dxa"/>
            </w:tcMar>
            <w:vAlign w:val="center"/>
          </w:tcPr>
          <w:p w14:paraId="0A537EEC">
            <w:pPr>
              <w:jc w:val="center"/>
              <w:rPr>
                <w:rFonts w:ascii="宋体" w:hAnsi="宋体"/>
                <w:sz w:val="15"/>
                <w:szCs w:val="15"/>
              </w:rPr>
            </w:pPr>
            <w:r>
              <w:rPr>
                <w:rFonts w:ascii="宋体" w:hAnsi="宋体"/>
                <w:sz w:val="15"/>
                <w:szCs w:val="15"/>
              </w:rPr>
              <w:t>93.90</w:t>
            </w:r>
          </w:p>
        </w:tc>
      </w:tr>
      <w:tr w14:paraId="3F55AFDC">
        <w:tblPrEx>
          <w:tblCellMar>
            <w:top w:w="15" w:type="dxa"/>
            <w:left w:w="15" w:type="dxa"/>
            <w:bottom w:w="15" w:type="dxa"/>
            <w:right w:w="15" w:type="dxa"/>
          </w:tblCellMar>
        </w:tblPrEx>
        <w:trPr>
          <w:trHeight w:val="493" w:hRule="atLeast"/>
          <w:jc w:val="center"/>
        </w:trPr>
        <w:tc>
          <w:tcPr>
            <w:tcW w:w="233" w:type="pct"/>
            <w:tcMar>
              <w:top w:w="150" w:type="dxa"/>
              <w:left w:w="0" w:type="dxa"/>
              <w:bottom w:w="150" w:type="dxa"/>
              <w:right w:w="240" w:type="dxa"/>
            </w:tcMar>
            <w:vAlign w:val="center"/>
          </w:tcPr>
          <w:p w14:paraId="5D35405A">
            <w:pPr>
              <w:jc w:val="center"/>
              <w:rPr>
                <w:rFonts w:ascii="宋体" w:hAnsi="宋体"/>
                <w:sz w:val="15"/>
                <w:szCs w:val="15"/>
              </w:rPr>
            </w:pPr>
            <w:r>
              <w:rPr>
                <w:rFonts w:ascii="宋体" w:hAnsi="宋体"/>
                <w:sz w:val="15"/>
                <w:szCs w:val="15"/>
              </w:rPr>
              <w:t>4220</w:t>
            </w:r>
          </w:p>
        </w:tc>
        <w:tc>
          <w:tcPr>
            <w:tcW w:w="465" w:type="pct"/>
            <w:tcMar>
              <w:top w:w="150" w:type="dxa"/>
              <w:left w:w="240" w:type="dxa"/>
              <w:bottom w:w="150" w:type="dxa"/>
              <w:right w:w="240" w:type="dxa"/>
            </w:tcMar>
            <w:vAlign w:val="center"/>
          </w:tcPr>
          <w:p w14:paraId="5EF2A1FF">
            <w:pPr>
              <w:jc w:val="center"/>
              <w:rPr>
                <w:rFonts w:ascii="宋体" w:hAnsi="宋体"/>
                <w:sz w:val="15"/>
                <w:szCs w:val="15"/>
              </w:rPr>
            </w:pPr>
            <w:r>
              <w:rPr>
                <w:rFonts w:ascii="宋体" w:hAnsi="宋体"/>
                <w:sz w:val="15"/>
                <w:szCs w:val="15"/>
              </w:rPr>
              <w:t>97.53</w:t>
            </w:r>
          </w:p>
        </w:tc>
        <w:tc>
          <w:tcPr>
            <w:tcW w:w="465" w:type="pct"/>
            <w:tcMar>
              <w:top w:w="150" w:type="dxa"/>
              <w:left w:w="240" w:type="dxa"/>
              <w:bottom w:w="150" w:type="dxa"/>
              <w:right w:w="240" w:type="dxa"/>
            </w:tcMar>
            <w:vAlign w:val="center"/>
          </w:tcPr>
          <w:p w14:paraId="1D3DA3A8">
            <w:pPr>
              <w:jc w:val="center"/>
              <w:rPr>
                <w:rFonts w:ascii="宋体" w:hAnsi="宋体"/>
                <w:sz w:val="15"/>
                <w:szCs w:val="15"/>
              </w:rPr>
            </w:pPr>
            <w:r>
              <w:rPr>
                <w:rFonts w:ascii="宋体" w:hAnsi="宋体"/>
                <w:sz w:val="15"/>
                <w:szCs w:val="15"/>
              </w:rPr>
              <w:t>96.83*</w:t>
            </w:r>
          </w:p>
        </w:tc>
        <w:tc>
          <w:tcPr>
            <w:tcW w:w="465" w:type="pct"/>
            <w:tcMar>
              <w:top w:w="150" w:type="dxa"/>
              <w:left w:w="240" w:type="dxa"/>
              <w:bottom w:w="150" w:type="dxa"/>
              <w:right w:w="240" w:type="dxa"/>
            </w:tcMar>
            <w:vAlign w:val="center"/>
          </w:tcPr>
          <w:p w14:paraId="60BC2CB6">
            <w:pPr>
              <w:jc w:val="center"/>
              <w:rPr>
                <w:rFonts w:ascii="宋体" w:hAnsi="宋体"/>
                <w:sz w:val="15"/>
                <w:szCs w:val="15"/>
              </w:rPr>
            </w:pPr>
            <w:r>
              <w:rPr>
                <w:rFonts w:ascii="宋体" w:hAnsi="宋体"/>
                <w:sz w:val="15"/>
                <w:szCs w:val="15"/>
              </w:rPr>
              <w:t>96.72</w:t>
            </w:r>
          </w:p>
        </w:tc>
        <w:tc>
          <w:tcPr>
            <w:tcW w:w="495" w:type="pct"/>
            <w:tcMar>
              <w:top w:w="150" w:type="dxa"/>
              <w:left w:w="240" w:type="dxa"/>
              <w:bottom w:w="150" w:type="dxa"/>
              <w:right w:w="240" w:type="dxa"/>
            </w:tcMar>
            <w:vAlign w:val="center"/>
          </w:tcPr>
          <w:p w14:paraId="2E0C234D">
            <w:pPr>
              <w:jc w:val="center"/>
              <w:rPr>
                <w:rFonts w:ascii="宋体" w:hAnsi="宋体"/>
                <w:sz w:val="15"/>
                <w:szCs w:val="15"/>
              </w:rPr>
            </w:pPr>
            <w:r>
              <w:rPr>
                <w:rFonts w:ascii="宋体" w:hAnsi="宋体"/>
                <w:sz w:val="15"/>
                <w:szCs w:val="15"/>
              </w:rPr>
              <w:t>96.33</w:t>
            </w:r>
          </w:p>
        </w:tc>
        <w:tc>
          <w:tcPr>
            <w:tcW w:w="495" w:type="pct"/>
            <w:tcMar>
              <w:top w:w="150" w:type="dxa"/>
              <w:left w:w="240" w:type="dxa"/>
              <w:bottom w:w="150" w:type="dxa"/>
              <w:right w:w="240" w:type="dxa"/>
            </w:tcMar>
            <w:vAlign w:val="center"/>
          </w:tcPr>
          <w:p w14:paraId="22B30B01">
            <w:pPr>
              <w:jc w:val="center"/>
              <w:rPr>
                <w:rFonts w:ascii="宋体" w:hAnsi="宋体"/>
                <w:sz w:val="15"/>
                <w:szCs w:val="15"/>
              </w:rPr>
            </w:pPr>
            <w:r>
              <w:rPr>
                <w:rFonts w:ascii="宋体" w:hAnsi="宋体"/>
                <w:sz w:val="15"/>
                <w:szCs w:val="15"/>
              </w:rPr>
              <w:t>96.20</w:t>
            </w:r>
          </w:p>
        </w:tc>
        <w:tc>
          <w:tcPr>
            <w:tcW w:w="465" w:type="pct"/>
            <w:tcMar>
              <w:top w:w="150" w:type="dxa"/>
              <w:left w:w="240" w:type="dxa"/>
              <w:bottom w:w="150" w:type="dxa"/>
              <w:right w:w="240" w:type="dxa"/>
            </w:tcMar>
            <w:vAlign w:val="center"/>
          </w:tcPr>
          <w:p w14:paraId="49B9EA86">
            <w:pPr>
              <w:jc w:val="center"/>
              <w:rPr>
                <w:rFonts w:ascii="宋体" w:hAnsi="宋体"/>
                <w:sz w:val="15"/>
                <w:szCs w:val="15"/>
              </w:rPr>
            </w:pPr>
            <w:r>
              <w:rPr>
                <w:rFonts w:ascii="宋体" w:hAnsi="宋体"/>
                <w:sz w:val="15"/>
                <w:szCs w:val="15"/>
              </w:rPr>
              <w:t>93.88</w:t>
            </w:r>
          </w:p>
        </w:tc>
        <w:tc>
          <w:tcPr>
            <w:tcW w:w="465" w:type="pct"/>
            <w:tcMar>
              <w:top w:w="150" w:type="dxa"/>
              <w:left w:w="240" w:type="dxa"/>
              <w:bottom w:w="150" w:type="dxa"/>
              <w:right w:w="240" w:type="dxa"/>
            </w:tcMar>
            <w:vAlign w:val="center"/>
          </w:tcPr>
          <w:p w14:paraId="7C66E341">
            <w:pPr>
              <w:jc w:val="center"/>
              <w:rPr>
                <w:rFonts w:ascii="宋体" w:hAnsi="宋体"/>
                <w:sz w:val="15"/>
                <w:szCs w:val="15"/>
              </w:rPr>
            </w:pPr>
            <w:r>
              <w:rPr>
                <w:rFonts w:ascii="宋体" w:hAnsi="宋体"/>
                <w:sz w:val="15"/>
                <w:szCs w:val="15"/>
              </w:rPr>
              <w:t>94.28</w:t>
            </w:r>
          </w:p>
        </w:tc>
        <w:tc>
          <w:tcPr>
            <w:tcW w:w="465" w:type="pct"/>
            <w:tcMar>
              <w:top w:w="150" w:type="dxa"/>
              <w:left w:w="240" w:type="dxa"/>
              <w:bottom w:w="150" w:type="dxa"/>
              <w:right w:w="240" w:type="dxa"/>
            </w:tcMar>
            <w:vAlign w:val="center"/>
          </w:tcPr>
          <w:p w14:paraId="122926E2">
            <w:pPr>
              <w:jc w:val="center"/>
              <w:rPr>
                <w:rFonts w:ascii="宋体" w:hAnsi="宋体"/>
                <w:sz w:val="15"/>
                <w:szCs w:val="15"/>
              </w:rPr>
            </w:pPr>
            <w:r>
              <w:rPr>
                <w:rFonts w:ascii="宋体" w:hAnsi="宋体"/>
                <w:sz w:val="15"/>
                <w:szCs w:val="15"/>
              </w:rPr>
              <w:t>95.04</w:t>
            </w:r>
          </w:p>
        </w:tc>
        <w:tc>
          <w:tcPr>
            <w:tcW w:w="495" w:type="pct"/>
            <w:tcMar>
              <w:top w:w="150" w:type="dxa"/>
              <w:left w:w="240" w:type="dxa"/>
              <w:bottom w:w="150" w:type="dxa"/>
              <w:right w:w="240" w:type="dxa"/>
            </w:tcMar>
            <w:vAlign w:val="center"/>
          </w:tcPr>
          <w:p w14:paraId="4FC55FBA">
            <w:pPr>
              <w:jc w:val="center"/>
              <w:rPr>
                <w:rFonts w:ascii="宋体" w:hAnsi="宋体"/>
                <w:sz w:val="15"/>
                <w:szCs w:val="15"/>
              </w:rPr>
            </w:pPr>
            <w:r>
              <w:rPr>
                <w:rFonts w:ascii="宋体" w:hAnsi="宋体"/>
                <w:sz w:val="15"/>
                <w:szCs w:val="15"/>
              </w:rPr>
              <w:t>94.34</w:t>
            </w:r>
          </w:p>
        </w:tc>
        <w:tc>
          <w:tcPr>
            <w:tcW w:w="495" w:type="pct"/>
            <w:tcMar>
              <w:top w:w="150" w:type="dxa"/>
              <w:left w:w="240" w:type="dxa"/>
              <w:bottom w:w="150" w:type="dxa"/>
              <w:right w:w="0" w:type="dxa"/>
            </w:tcMar>
            <w:vAlign w:val="center"/>
          </w:tcPr>
          <w:p w14:paraId="61F6422D">
            <w:pPr>
              <w:jc w:val="center"/>
              <w:rPr>
                <w:rFonts w:ascii="宋体" w:hAnsi="宋体"/>
                <w:sz w:val="15"/>
                <w:szCs w:val="15"/>
              </w:rPr>
            </w:pPr>
            <w:r>
              <w:rPr>
                <w:rFonts w:ascii="宋体" w:hAnsi="宋体"/>
                <w:sz w:val="15"/>
                <w:szCs w:val="15"/>
              </w:rPr>
              <w:t>93.00</w:t>
            </w:r>
          </w:p>
        </w:tc>
      </w:tr>
      <w:tr w14:paraId="54393D66">
        <w:tblPrEx>
          <w:tblCellMar>
            <w:top w:w="15" w:type="dxa"/>
            <w:left w:w="15" w:type="dxa"/>
            <w:bottom w:w="15" w:type="dxa"/>
            <w:right w:w="15" w:type="dxa"/>
          </w:tblCellMar>
        </w:tblPrEx>
        <w:trPr>
          <w:trHeight w:val="493" w:hRule="atLeast"/>
          <w:jc w:val="center"/>
        </w:trPr>
        <w:tc>
          <w:tcPr>
            <w:tcW w:w="233" w:type="pct"/>
            <w:tcMar>
              <w:top w:w="150" w:type="dxa"/>
              <w:left w:w="0" w:type="dxa"/>
              <w:bottom w:w="150" w:type="dxa"/>
              <w:right w:w="240" w:type="dxa"/>
            </w:tcMar>
            <w:vAlign w:val="center"/>
          </w:tcPr>
          <w:p w14:paraId="554859E5">
            <w:pPr>
              <w:jc w:val="center"/>
              <w:rPr>
                <w:rFonts w:ascii="宋体" w:hAnsi="宋体"/>
                <w:sz w:val="15"/>
                <w:szCs w:val="15"/>
              </w:rPr>
            </w:pPr>
            <w:r>
              <w:rPr>
                <w:rFonts w:ascii="宋体" w:hAnsi="宋体"/>
                <w:sz w:val="15"/>
                <w:szCs w:val="15"/>
              </w:rPr>
              <w:t>5627</w:t>
            </w:r>
          </w:p>
        </w:tc>
        <w:tc>
          <w:tcPr>
            <w:tcW w:w="465" w:type="pct"/>
            <w:tcMar>
              <w:top w:w="150" w:type="dxa"/>
              <w:left w:w="240" w:type="dxa"/>
              <w:bottom w:w="150" w:type="dxa"/>
              <w:right w:w="240" w:type="dxa"/>
            </w:tcMar>
            <w:vAlign w:val="center"/>
          </w:tcPr>
          <w:p w14:paraId="53AD9143">
            <w:pPr>
              <w:jc w:val="center"/>
              <w:rPr>
                <w:rFonts w:ascii="宋体" w:hAnsi="宋体"/>
                <w:sz w:val="15"/>
                <w:szCs w:val="15"/>
              </w:rPr>
            </w:pPr>
            <w:r>
              <w:rPr>
                <w:rFonts w:ascii="宋体" w:hAnsi="宋体"/>
                <w:sz w:val="15"/>
                <w:szCs w:val="15"/>
              </w:rPr>
              <w:t>98.03</w:t>
            </w:r>
          </w:p>
        </w:tc>
        <w:tc>
          <w:tcPr>
            <w:tcW w:w="465" w:type="pct"/>
            <w:tcMar>
              <w:top w:w="150" w:type="dxa"/>
              <w:left w:w="240" w:type="dxa"/>
              <w:bottom w:w="150" w:type="dxa"/>
              <w:right w:w="240" w:type="dxa"/>
            </w:tcMar>
            <w:vAlign w:val="center"/>
          </w:tcPr>
          <w:p w14:paraId="44AAA6D5">
            <w:pPr>
              <w:jc w:val="center"/>
              <w:rPr>
                <w:rFonts w:ascii="宋体" w:hAnsi="宋体"/>
                <w:sz w:val="15"/>
                <w:szCs w:val="15"/>
              </w:rPr>
            </w:pPr>
            <w:r>
              <w:rPr>
                <w:rFonts w:ascii="宋体" w:hAnsi="宋体"/>
                <w:sz w:val="15"/>
                <w:szCs w:val="15"/>
              </w:rPr>
              <w:t>97.72*</w:t>
            </w:r>
          </w:p>
        </w:tc>
        <w:tc>
          <w:tcPr>
            <w:tcW w:w="465" w:type="pct"/>
            <w:tcMar>
              <w:top w:w="150" w:type="dxa"/>
              <w:left w:w="240" w:type="dxa"/>
              <w:bottom w:w="150" w:type="dxa"/>
              <w:right w:w="240" w:type="dxa"/>
            </w:tcMar>
            <w:vAlign w:val="center"/>
          </w:tcPr>
          <w:p w14:paraId="61CF1E02">
            <w:pPr>
              <w:jc w:val="center"/>
              <w:rPr>
                <w:rFonts w:ascii="宋体" w:hAnsi="宋体"/>
                <w:sz w:val="15"/>
                <w:szCs w:val="15"/>
              </w:rPr>
            </w:pPr>
            <w:r>
              <w:rPr>
                <w:rFonts w:ascii="宋体" w:hAnsi="宋体"/>
                <w:sz w:val="15"/>
                <w:szCs w:val="15"/>
              </w:rPr>
              <w:t>-</w:t>
            </w:r>
          </w:p>
        </w:tc>
        <w:tc>
          <w:tcPr>
            <w:tcW w:w="495" w:type="pct"/>
            <w:tcMar>
              <w:top w:w="150" w:type="dxa"/>
              <w:left w:w="240" w:type="dxa"/>
              <w:bottom w:w="150" w:type="dxa"/>
              <w:right w:w="240" w:type="dxa"/>
            </w:tcMar>
            <w:vAlign w:val="center"/>
          </w:tcPr>
          <w:p w14:paraId="61BF0A64">
            <w:pPr>
              <w:jc w:val="center"/>
              <w:rPr>
                <w:rFonts w:ascii="宋体" w:hAnsi="宋体"/>
                <w:sz w:val="15"/>
                <w:szCs w:val="15"/>
              </w:rPr>
            </w:pPr>
            <w:r>
              <w:rPr>
                <w:rFonts w:ascii="宋体" w:hAnsi="宋体"/>
                <w:sz w:val="15"/>
                <w:szCs w:val="15"/>
              </w:rPr>
              <w:t>97.04</w:t>
            </w:r>
          </w:p>
        </w:tc>
        <w:tc>
          <w:tcPr>
            <w:tcW w:w="495" w:type="pct"/>
            <w:tcMar>
              <w:top w:w="150" w:type="dxa"/>
              <w:left w:w="240" w:type="dxa"/>
              <w:bottom w:w="150" w:type="dxa"/>
              <w:right w:w="240" w:type="dxa"/>
            </w:tcMar>
            <w:vAlign w:val="center"/>
          </w:tcPr>
          <w:p w14:paraId="78FE8C18">
            <w:pPr>
              <w:jc w:val="center"/>
              <w:rPr>
                <w:rFonts w:ascii="宋体" w:hAnsi="宋体"/>
                <w:sz w:val="15"/>
                <w:szCs w:val="15"/>
              </w:rPr>
            </w:pPr>
            <w:r>
              <w:rPr>
                <w:rFonts w:ascii="宋体" w:hAnsi="宋体"/>
                <w:sz w:val="15"/>
                <w:szCs w:val="15"/>
              </w:rPr>
              <w:t>96.99</w:t>
            </w:r>
          </w:p>
        </w:tc>
        <w:tc>
          <w:tcPr>
            <w:tcW w:w="465" w:type="pct"/>
            <w:tcMar>
              <w:top w:w="150" w:type="dxa"/>
              <w:left w:w="240" w:type="dxa"/>
              <w:bottom w:w="150" w:type="dxa"/>
              <w:right w:w="240" w:type="dxa"/>
            </w:tcMar>
            <w:vAlign w:val="center"/>
          </w:tcPr>
          <w:p w14:paraId="585178E4">
            <w:pPr>
              <w:jc w:val="center"/>
              <w:rPr>
                <w:rFonts w:ascii="宋体" w:hAnsi="宋体"/>
                <w:sz w:val="15"/>
                <w:szCs w:val="15"/>
              </w:rPr>
            </w:pPr>
            <w:r>
              <w:rPr>
                <w:rFonts w:ascii="宋体" w:hAnsi="宋体"/>
                <w:sz w:val="15"/>
                <w:szCs w:val="15"/>
              </w:rPr>
              <w:t>94.56</w:t>
            </w:r>
          </w:p>
        </w:tc>
        <w:tc>
          <w:tcPr>
            <w:tcW w:w="465" w:type="pct"/>
            <w:tcMar>
              <w:top w:w="150" w:type="dxa"/>
              <w:left w:w="240" w:type="dxa"/>
              <w:bottom w:w="150" w:type="dxa"/>
              <w:right w:w="240" w:type="dxa"/>
            </w:tcMar>
            <w:vAlign w:val="center"/>
          </w:tcPr>
          <w:p w14:paraId="4897AC8D">
            <w:pPr>
              <w:jc w:val="center"/>
              <w:rPr>
                <w:rFonts w:ascii="宋体" w:hAnsi="宋体"/>
                <w:sz w:val="15"/>
                <w:szCs w:val="15"/>
              </w:rPr>
            </w:pPr>
            <w:r>
              <w:rPr>
                <w:rFonts w:ascii="宋体" w:hAnsi="宋体"/>
                <w:sz w:val="15"/>
                <w:szCs w:val="15"/>
              </w:rPr>
              <w:t>94.20</w:t>
            </w:r>
          </w:p>
        </w:tc>
        <w:tc>
          <w:tcPr>
            <w:tcW w:w="465" w:type="pct"/>
            <w:tcMar>
              <w:top w:w="150" w:type="dxa"/>
              <w:left w:w="240" w:type="dxa"/>
              <w:bottom w:w="150" w:type="dxa"/>
              <w:right w:w="240" w:type="dxa"/>
            </w:tcMar>
            <w:vAlign w:val="center"/>
          </w:tcPr>
          <w:p w14:paraId="7DC3825F">
            <w:pPr>
              <w:jc w:val="center"/>
              <w:rPr>
                <w:rFonts w:ascii="宋体" w:hAnsi="宋体"/>
                <w:sz w:val="15"/>
                <w:szCs w:val="15"/>
              </w:rPr>
            </w:pPr>
            <w:r>
              <w:rPr>
                <w:rFonts w:ascii="宋体" w:hAnsi="宋体"/>
                <w:sz w:val="15"/>
                <w:szCs w:val="15"/>
              </w:rPr>
              <w:t>-</w:t>
            </w:r>
          </w:p>
        </w:tc>
        <w:tc>
          <w:tcPr>
            <w:tcW w:w="495" w:type="pct"/>
            <w:tcMar>
              <w:top w:w="150" w:type="dxa"/>
              <w:left w:w="240" w:type="dxa"/>
              <w:bottom w:w="150" w:type="dxa"/>
              <w:right w:w="240" w:type="dxa"/>
            </w:tcMar>
            <w:vAlign w:val="center"/>
          </w:tcPr>
          <w:p w14:paraId="506D7EF5">
            <w:pPr>
              <w:jc w:val="center"/>
              <w:rPr>
                <w:rFonts w:ascii="宋体" w:hAnsi="宋体"/>
                <w:sz w:val="15"/>
                <w:szCs w:val="15"/>
              </w:rPr>
            </w:pPr>
            <w:r>
              <w:rPr>
                <w:rFonts w:ascii="宋体" w:hAnsi="宋体"/>
                <w:sz w:val="15"/>
                <w:szCs w:val="15"/>
              </w:rPr>
              <w:t>93.46</w:t>
            </w:r>
          </w:p>
        </w:tc>
        <w:tc>
          <w:tcPr>
            <w:tcW w:w="495" w:type="pct"/>
            <w:tcMar>
              <w:top w:w="150" w:type="dxa"/>
              <w:left w:w="240" w:type="dxa"/>
              <w:bottom w:w="150" w:type="dxa"/>
              <w:right w:w="0" w:type="dxa"/>
            </w:tcMar>
            <w:vAlign w:val="center"/>
          </w:tcPr>
          <w:p w14:paraId="13AC4E01">
            <w:pPr>
              <w:jc w:val="center"/>
              <w:rPr>
                <w:rFonts w:ascii="宋体" w:hAnsi="宋体"/>
                <w:sz w:val="15"/>
                <w:szCs w:val="15"/>
              </w:rPr>
            </w:pPr>
            <w:r>
              <w:rPr>
                <w:rFonts w:ascii="宋体" w:hAnsi="宋体"/>
                <w:sz w:val="15"/>
                <w:szCs w:val="15"/>
              </w:rPr>
              <w:t>92.64</w:t>
            </w:r>
          </w:p>
        </w:tc>
      </w:tr>
      <w:tr w14:paraId="16573A11">
        <w:tblPrEx>
          <w:tblCellMar>
            <w:top w:w="15" w:type="dxa"/>
            <w:left w:w="15" w:type="dxa"/>
            <w:bottom w:w="15" w:type="dxa"/>
            <w:right w:w="15" w:type="dxa"/>
          </w:tblCellMar>
        </w:tblPrEx>
        <w:trPr>
          <w:trHeight w:val="493" w:hRule="atLeast"/>
          <w:jc w:val="center"/>
        </w:trPr>
        <w:tc>
          <w:tcPr>
            <w:tcW w:w="233" w:type="pct"/>
            <w:tcMar>
              <w:top w:w="150" w:type="dxa"/>
              <w:left w:w="0" w:type="dxa"/>
              <w:bottom w:w="150" w:type="dxa"/>
              <w:right w:w="240" w:type="dxa"/>
            </w:tcMar>
            <w:vAlign w:val="center"/>
          </w:tcPr>
          <w:p w14:paraId="32F5655F">
            <w:pPr>
              <w:jc w:val="center"/>
              <w:rPr>
                <w:rFonts w:ascii="宋体" w:hAnsi="宋体"/>
                <w:sz w:val="15"/>
                <w:szCs w:val="15"/>
              </w:rPr>
            </w:pPr>
            <w:r>
              <w:rPr>
                <w:rFonts w:ascii="宋体" w:hAnsi="宋体"/>
                <w:sz w:val="15"/>
                <w:szCs w:val="15"/>
              </w:rPr>
              <w:t>7034</w:t>
            </w:r>
          </w:p>
        </w:tc>
        <w:tc>
          <w:tcPr>
            <w:tcW w:w="465" w:type="pct"/>
            <w:tcMar>
              <w:top w:w="150" w:type="dxa"/>
              <w:left w:w="240" w:type="dxa"/>
              <w:bottom w:w="150" w:type="dxa"/>
              <w:right w:w="240" w:type="dxa"/>
            </w:tcMar>
            <w:vAlign w:val="center"/>
          </w:tcPr>
          <w:p w14:paraId="0B3EB5E5">
            <w:pPr>
              <w:jc w:val="center"/>
              <w:rPr>
                <w:rFonts w:ascii="宋体" w:hAnsi="宋体"/>
                <w:sz w:val="15"/>
                <w:szCs w:val="15"/>
              </w:rPr>
            </w:pPr>
            <w:r>
              <w:rPr>
                <w:rFonts w:ascii="宋体" w:hAnsi="宋体"/>
                <w:sz w:val="15"/>
                <w:szCs w:val="15"/>
              </w:rPr>
              <w:t>98.55</w:t>
            </w:r>
          </w:p>
        </w:tc>
        <w:tc>
          <w:tcPr>
            <w:tcW w:w="465" w:type="pct"/>
            <w:tcMar>
              <w:top w:w="150" w:type="dxa"/>
              <w:left w:w="240" w:type="dxa"/>
              <w:bottom w:w="150" w:type="dxa"/>
              <w:right w:w="240" w:type="dxa"/>
            </w:tcMar>
            <w:vAlign w:val="center"/>
          </w:tcPr>
          <w:p w14:paraId="7FD4D77F">
            <w:pPr>
              <w:jc w:val="center"/>
              <w:rPr>
                <w:rFonts w:ascii="宋体" w:hAnsi="宋体"/>
                <w:sz w:val="15"/>
                <w:szCs w:val="15"/>
              </w:rPr>
            </w:pPr>
            <w:r>
              <w:rPr>
                <w:rFonts w:ascii="宋体" w:hAnsi="宋体"/>
                <w:sz w:val="15"/>
                <w:szCs w:val="15"/>
              </w:rPr>
              <w:t>-</w:t>
            </w:r>
          </w:p>
        </w:tc>
        <w:tc>
          <w:tcPr>
            <w:tcW w:w="465" w:type="pct"/>
            <w:tcMar>
              <w:top w:w="150" w:type="dxa"/>
              <w:left w:w="240" w:type="dxa"/>
              <w:bottom w:w="150" w:type="dxa"/>
              <w:right w:w="240" w:type="dxa"/>
            </w:tcMar>
            <w:vAlign w:val="center"/>
          </w:tcPr>
          <w:p w14:paraId="235C2404">
            <w:pPr>
              <w:jc w:val="center"/>
              <w:rPr>
                <w:rFonts w:ascii="宋体" w:hAnsi="宋体"/>
                <w:sz w:val="15"/>
                <w:szCs w:val="15"/>
              </w:rPr>
            </w:pPr>
            <w:r>
              <w:rPr>
                <w:rFonts w:ascii="宋体" w:hAnsi="宋体"/>
                <w:sz w:val="15"/>
                <w:szCs w:val="15"/>
              </w:rPr>
              <w:t>-</w:t>
            </w:r>
          </w:p>
        </w:tc>
        <w:tc>
          <w:tcPr>
            <w:tcW w:w="495" w:type="pct"/>
            <w:tcMar>
              <w:top w:w="150" w:type="dxa"/>
              <w:left w:w="240" w:type="dxa"/>
              <w:bottom w:w="150" w:type="dxa"/>
              <w:right w:w="240" w:type="dxa"/>
            </w:tcMar>
            <w:vAlign w:val="center"/>
          </w:tcPr>
          <w:p w14:paraId="20DE711E">
            <w:pPr>
              <w:jc w:val="center"/>
              <w:rPr>
                <w:rFonts w:ascii="宋体" w:hAnsi="宋体"/>
                <w:sz w:val="15"/>
                <w:szCs w:val="15"/>
              </w:rPr>
            </w:pPr>
            <w:r>
              <w:rPr>
                <w:rFonts w:ascii="宋体" w:hAnsi="宋体"/>
                <w:sz w:val="15"/>
                <w:szCs w:val="15"/>
              </w:rPr>
              <w:t>97.61</w:t>
            </w:r>
          </w:p>
        </w:tc>
        <w:tc>
          <w:tcPr>
            <w:tcW w:w="495" w:type="pct"/>
            <w:tcMar>
              <w:top w:w="150" w:type="dxa"/>
              <w:left w:w="240" w:type="dxa"/>
              <w:bottom w:w="150" w:type="dxa"/>
              <w:right w:w="240" w:type="dxa"/>
            </w:tcMar>
            <w:vAlign w:val="center"/>
          </w:tcPr>
          <w:p w14:paraId="10A64034">
            <w:pPr>
              <w:jc w:val="center"/>
              <w:rPr>
                <w:rFonts w:ascii="宋体" w:hAnsi="宋体"/>
                <w:sz w:val="15"/>
                <w:szCs w:val="15"/>
              </w:rPr>
            </w:pPr>
            <w:r>
              <w:rPr>
                <w:rFonts w:ascii="宋体" w:hAnsi="宋体"/>
                <w:sz w:val="15"/>
                <w:szCs w:val="15"/>
              </w:rPr>
              <w:t>97.60</w:t>
            </w:r>
          </w:p>
        </w:tc>
        <w:tc>
          <w:tcPr>
            <w:tcW w:w="465" w:type="pct"/>
            <w:tcMar>
              <w:top w:w="150" w:type="dxa"/>
              <w:left w:w="240" w:type="dxa"/>
              <w:bottom w:w="150" w:type="dxa"/>
              <w:right w:w="240" w:type="dxa"/>
            </w:tcMar>
            <w:vAlign w:val="center"/>
          </w:tcPr>
          <w:p w14:paraId="54F9B620">
            <w:pPr>
              <w:jc w:val="center"/>
              <w:rPr>
                <w:rFonts w:ascii="宋体" w:hAnsi="宋体"/>
                <w:sz w:val="15"/>
                <w:szCs w:val="15"/>
              </w:rPr>
            </w:pPr>
            <w:r>
              <w:rPr>
                <w:rFonts w:ascii="宋体" w:hAnsi="宋体"/>
                <w:sz w:val="15"/>
                <w:szCs w:val="15"/>
              </w:rPr>
              <w:t>94.34</w:t>
            </w:r>
          </w:p>
        </w:tc>
        <w:tc>
          <w:tcPr>
            <w:tcW w:w="465" w:type="pct"/>
            <w:tcMar>
              <w:top w:w="150" w:type="dxa"/>
              <w:left w:w="240" w:type="dxa"/>
              <w:bottom w:w="150" w:type="dxa"/>
              <w:right w:w="240" w:type="dxa"/>
            </w:tcMar>
            <w:vAlign w:val="center"/>
          </w:tcPr>
          <w:p w14:paraId="0ACCBC0D">
            <w:pPr>
              <w:jc w:val="center"/>
              <w:rPr>
                <w:rFonts w:ascii="宋体" w:hAnsi="宋体"/>
                <w:sz w:val="15"/>
                <w:szCs w:val="15"/>
              </w:rPr>
            </w:pPr>
            <w:r>
              <w:rPr>
                <w:rFonts w:ascii="宋体" w:hAnsi="宋体"/>
                <w:sz w:val="15"/>
                <w:szCs w:val="15"/>
              </w:rPr>
              <w:t>-</w:t>
            </w:r>
          </w:p>
        </w:tc>
        <w:tc>
          <w:tcPr>
            <w:tcW w:w="465" w:type="pct"/>
            <w:tcMar>
              <w:top w:w="150" w:type="dxa"/>
              <w:left w:w="240" w:type="dxa"/>
              <w:bottom w:w="150" w:type="dxa"/>
              <w:right w:w="240" w:type="dxa"/>
            </w:tcMar>
            <w:vAlign w:val="center"/>
          </w:tcPr>
          <w:p w14:paraId="6B56EAB4">
            <w:pPr>
              <w:jc w:val="center"/>
              <w:rPr>
                <w:rFonts w:ascii="宋体" w:hAnsi="宋体"/>
                <w:sz w:val="15"/>
                <w:szCs w:val="15"/>
              </w:rPr>
            </w:pPr>
            <w:r>
              <w:rPr>
                <w:rFonts w:ascii="宋体" w:hAnsi="宋体"/>
                <w:sz w:val="15"/>
                <w:szCs w:val="15"/>
              </w:rPr>
              <w:t>-</w:t>
            </w:r>
          </w:p>
        </w:tc>
        <w:tc>
          <w:tcPr>
            <w:tcW w:w="495" w:type="pct"/>
            <w:tcMar>
              <w:top w:w="150" w:type="dxa"/>
              <w:left w:w="240" w:type="dxa"/>
              <w:bottom w:w="150" w:type="dxa"/>
              <w:right w:w="240" w:type="dxa"/>
            </w:tcMar>
            <w:vAlign w:val="center"/>
          </w:tcPr>
          <w:p w14:paraId="0076ED23">
            <w:pPr>
              <w:jc w:val="center"/>
              <w:rPr>
                <w:rFonts w:ascii="宋体" w:hAnsi="宋体"/>
                <w:sz w:val="15"/>
                <w:szCs w:val="15"/>
              </w:rPr>
            </w:pPr>
            <w:r>
              <w:rPr>
                <w:rFonts w:ascii="宋体" w:hAnsi="宋体"/>
                <w:sz w:val="15"/>
                <w:szCs w:val="15"/>
              </w:rPr>
              <w:t>93.36</w:t>
            </w:r>
          </w:p>
        </w:tc>
        <w:tc>
          <w:tcPr>
            <w:tcW w:w="495" w:type="pct"/>
            <w:tcMar>
              <w:top w:w="150" w:type="dxa"/>
              <w:left w:w="240" w:type="dxa"/>
              <w:bottom w:w="150" w:type="dxa"/>
              <w:right w:w="0" w:type="dxa"/>
            </w:tcMar>
            <w:vAlign w:val="center"/>
          </w:tcPr>
          <w:p w14:paraId="6D7400FF">
            <w:pPr>
              <w:jc w:val="center"/>
              <w:rPr>
                <w:rFonts w:ascii="宋体" w:hAnsi="宋体"/>
                <w:sz w:val="15"/>
                <w:szCs w:val="15"/>
              </w:rPr>
            </w:pPr>
            <w:r>
              <w:rPr>
                <w:rFonts w:ascii="宋体" w:hAnsi="宋体"/>
                <w:sz w:val="15"/>
                <w:szCs w:val="15"/>
              </w:rPr>
              <w:t>93.98</w:t>
            </w:r>
          </w:p>
        </w:tc>
      </w:tr>
    </w:tbl>
    <w:p w14:paraId="37CD801D">
      <w:pPr>
        <w:ind w:firstLine="420"/>
      </w:pPr>
      <w:r>
        <w:t>随着训练深入至中期（Step 4220），各模型继续展现持续的学习能力。ResNet18、ResNet34、ResNet50、ResNet101及ResNet152的训练准确率分别达到97.53%、96.83%、96.72%、96.33%与96.20%。值得注意的是，ResNet18凭借相对简单的结构，在训练集上的拟合速度最快，显示出轻量级模型在中等规模数据集上的优势。至训练后期（Step 7034），ResNet18的训练准确率进一步提升至98.55%，而ResNet101与ResNet152也分别达到97.61%与97.60%，显示出深度模型通过充分训练同样能达到极高的训练精度。</w:t>
      </w:r>
    </w:p>
    <w:p w14:paraId="5F1228F1">
      <w:pPr>
        <w:ind w:firstLine="420"/>
      </w:pPr>
      <w:r>
        <w:t>总体而言，更深的模型（如ResNet101/152）在训练初期并未显著领先，但随着训练进行，其潜力逐渐释放，最终训练准确率与较浅模型持平甚至略优。这一现象表明，深度模型虽然具有更强的表征能力，但也需要更多的训练迭代才能充分发挥其优势。同时，训练准确率的高度一致性（均超过96%）说明在CIFAR-10这一相对简单的任务上，不同深度的ResNet模型都能有效拟合训练数据。</w:t>
      </w:r>
    </w:p>
    <w:p w14:paraId="3B87340E">
      <w:pPr>
        <w:pStyle w:val="4"/>
      </w:pPr>
      <w:r>
        <w:t>验证集性能对比</w:t>
      </w:r>
    </w:p>
    <w:p w14:paraId="5FE2A215">
      <w:pPr>
        <w:pStyle w:val="33"/>
        <w:ind w:firstLine="420"/>
      </w:pPr>
      <w:r>
        <w:t>验证集性能是评估模型泛化能力的关键指标。在整个训练过程中，各模型在验证集上的表现呈现出与训练集不同的趋势，这反映了它们在泛化能力上的差异。ResNet50在验证集上保持了最佳且最稳定的性能表现，在Step 4220时达到最高的95.04%验证准确率，显著优于同期ResNet18的93.88%、ResNet34的94.28%、ResNet101的94.34%与ResNet152的93.00%。</w:t>
      </w:r>
    </w:p>
    <w:p w14:paraId="1470E828">
      <w:pPr>
        <w:pStyle w:val="33"/>
        <w:ind w:firstLine="420"/>
      </w:pPr>
      <w:r>
        <w:t>ResNet34的表现同样稳健，验证准确率最高达94.28%，且在训练过程中波动较小，显示出良好的训练稳定性。ResNet18虽然是最轻量级的模型，但其验证准确率最终稳定在94.34%，仅略低于ResNet50，这一结果表明在CIFAR-10数据集上，浅层网络已经具备了捕捉主要视觉特征的能力。</w:t>
      </w:r>
    </w:p>
    <w:p w14:paraId="4A8708EB">
      <w:pPr>
        <w:pStyle w:val="33"/>
        <w:ind w:firstLine="420"/>
      </w:pPr>
      <w:r>
        <w:t>值得特别关注的是ResNet152的表现。作为最深的模型，其验证准确率最高仅为93.98%，且在整个训练过程中表现不稳定，例如在Step 4220时降至93.00%。这一现象表明，过深的网络在中等规模数据集上可能存在优化困难或过拟合风险。ResNet101的验证性能与ResNet18相近，最高为94.34%，但考虑到其显著增加的模型复杂度，性价比并不理想。</w:t>
      </w:r>
    </w:p>
    <w:p w14:paraId="3FB335F8">
      <w:pPr>
        <w:pStyle w:val="33"/>
        <w:ind w:firstLine="420"/>
      </w:pPr>
      <w:r>
        <w:t>综合验证集表现，ResNet50展现了最佳的泛化能力，在获得高训练精度的同时，有效抑制了过拟合。这一结果与计算机视觉领域的普遍经验一致：对于中等规模的图像分类任务，50层左右的深度往往能够在表征能力和泛化性能之间取得最佳平衡。</w:t>
      </w:r>
    </w:p>
    <w:p w14:paraId="6923240F">
      <w:pPr>
        <w:pStyle w:val="4"/>
      </w:pPr>
      <w:r>
        <w:t>损失函数演化分析</w:t>
      </w:r>
    </w:p>
    <w:p w14:paraId="2D8A84C4">
      <w:pPr>
        <w:ind w:firstLine="420"/>
      </w:pPr>
      <w:r>
        <w:t>训练损失和验证损失的演化曲线提供了模型学习动态的深入视角。训练损失方面，所有模型均表现出快速且持续的下降趋势。ResNet18的初始训练损失最高（2.64），经过7,034步训练后降至0.042；ResNet152的初始损失较低（2.33），最终训练损失降至极低水平（约0.012）。更深层的模型（如ResNet101/152）在训练中后期的损失曲线波动相对更小，显示出更稳定的优化过程。</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92"/>
        <w:gridCol w:w="5390"/>
      </w:tblGrid>
      <w:tr w14:paraId="72A9E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41" w:type="dxa"/>
          </w:tcPr>
          <w:p w14:paraId="12A7FE14">
            <w:pPr>
              <w:jc w:val="center"/>
            </w:pPr>
            <w:r>
              <w:rPr>
                <w:rFonts w:hint="eastAsia"/>
              </w:rPr>
              <w:drawing>
                <wp:inline distT="0" distB="0" distL="0" distR="0">
                  <wp:extent cx="3272790" cy="2181860"/>
                  <wp:effectExtent l="0" t="0" r="3810" b="8890"/>
                  <wp:docPr id="17573027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02703" name="图片 1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19768" cy="2213072"/>
                          </a:xfrm>
                          <a:prstGeom prst="rect">
                            <a:avLst/>
                          </a:prstGeom>
                        </pic:spPr>
                      </pic:pic>
                    </a:graphicData>
                  </a:graphic>
                </wp:inline>
              </w:drawing>
            </w:r>
          </w:p>
        </w:tc>
        <w:tc>
          <w:tcPr>
            <w:tcW w:w="5341" w:type="dxa"/>
          </w:tcPr>
          <w:p w14:paraId="51CAF871">
            <w:pPr>
              <w:keepNext/>
              <w:jc w:val="center"/>
            </w:pPr>
            <w:r>
              <w:rPr>
                <w:rFonts w:hint="eastAsia"/>
              </w:rPr>
              <w:drawing>
                <wp:inline distT="0" distB="0" distL="0" distR="0">
                  <wp:extent cx="3340100" cy="2226945"/>
                  <wp:effectExtent l="0" t="0" r="0" b="1905"/>
                  <wp:docPr id="17155655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65523" name="图片 1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68292" cy="2245422"/>
                          </a:xfrm>
                          <a:prstGeom prst="rect">
                            <a:avLst/>
                          </a:prstGeom>
                        </pic:spPr>
                      </pic:pic>
                    </a:graphicData>
                  </a:graphic>
                </wp:inline>
              </w:drawing>
            </w:r>
          </w:p>
        </w:tc>
      </w:tr>
    </w:tbl>
    <w:p w14:paraId="210A03AC">
      <w:pPr>
        <w:pStyle w:val="6"/>
        <w:jc w:val="center"/>
      </w:pPr>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3</w:t>
      </w:r>
      <w:r>
        <w:fldChar w:fldCharType="end"/>
      </w:r>
      <w:r>
        <w:rPr>
          <w:rFonts w:hint="eastAsia"/>
        </w:rPr>
        <w:t>各模型训练和验证损失曲线对比</w:t>
      </w:r>
    </w:p>
    <w:p w14:paraId="4A8FB12F">
      <w:pPr>
        <w:ind w:firstLine="420"/>
      </w:pPr>
      <w:r>
        <w:t>验证损失的变化则更复杂地反映了模型的泛化状态。ResNet50的验证损失从0.190持续下降至0.153（最低点），与其验证准确率的提升保持一致，表明其泛化能力不断增强。ResNet18的验证损失从0.197下降至0.184，但在训练后期略有波动，与其验证准确率在94.34%附近徘徊相符。ResNet101和ResNet152的验证损失曲线则出现明显起伏，例如ResNet152在Step 5627时验证损失升至0.246，而后在Step 7034时又降至0.182。</w:t>
      </w:r>
    </w:p>
    <w:p w14:paraId="3C183099">
      <w:pPr>
        <w:ind w:firstLine="420"/>
      </w:pPr>
      <w:r>
        <w:t>这种波动现象暗示深度模型在训练中可能更易受到优化动态的影响，或对学习率策略更为敏感。训练损失与验证损失之间的差距也值得关注：ResNet50的两者差距保持在较小范围内，表明过拟合风险较低；而ResNet152在某些训练阶段出现较大差距，进一步证实了其在中等规模数据集上存在的优化挑战。</w:t>
      </w:r>
    </w:p>
    <w:p w14:paraId="70475855">
      <w:pPr>
        <w:pStyle w:val="3"/>
      </w:pPr>
      <w:r>
        <w:t>模型复杂度与效率权衡</w:t>
      </w:r>
    </w:p>
    <w:p w14:paraId="734CD9DA">
      <w:pPr>
        <w:pStyle w:val="4"/>
      </w:pPr>
      <w:r>
        <w:t>参数规模与计算成本</w:t>
      </w:r>
    </w:p>
    <w:p w14:paraId="1D5F8F6D">
      <w:pPr>
        <w:pStyle w:val="33"/>
        <w:ind w:firstLine="420"/>
      </w:pPr>
      <w:r>
        <w:t>本实验涉及的ResNet系列模型在参数量与计算复杂度上存在显著差异，这直接影响了训练效率和部署成本。ResNet18作为最轻量级模型，参数量约为1,100万，训练速度最快，单个epoch的训练时间显著短于更深的模型。这使得ResNet18成为资源受限或实时性要求高的应用场景的首选方案。尽管其验证准确率（94.34%）略低于ResNet50，但考虑到训练和推理效率的优势，ResNet18仍具有很高的实用价值。</w:t>
      </w:r>
    </w:p>
    <w:p w14:paraId="760E0177">
      <w:pPr>
        <w:pStyle w:val="33"/>
        <w:ind w:firstLine="420"/>
      </w:pPr>
      <w:r>
        <w:t>ResNet34的参数量约为2,100万，在计算成本和性能之间取得了良好的平衡。其验证准确率（最高94.28%）接近ResNet50，且稳定性优于更深的模型，为需要比ResNet18更强能力、但计算预算低于ResNet50的场景提供了有力的折中选项。ResNet50参数量约为2,500万，虽然训练成本适度增加，但获得了最佳的验证性能（95.04%），在准确率与效率之间取得了优异的平衡，是追求高精度场景的推荐选择。</w:t>
      </w:r>
    </w:p>
    <w:p w14:paraId="13E4E1D9">
      <w:pPr>
        <w:pStyle w:val="33"/>
        <w:ind w:firstLine="420"/>
      </w:pPr>
      <w:r>
        <w:t>更深的模型如ResNet101（约4,450万参数）和ResNet152（约6,020万参数）理论上具备更强的表征能力，且最终训练准确率与浅层模型相当，但其验证性能并未随深度增加而线性提升，甚至出现波动和不稳定。ResNet152的最高验证准确率（93.98%）反而低于ResNet50和ResNet34，同时其训练时间显著增长，对计算资源的要求也更高。</w:t>
      </w:r>
    </w:p>
    <w:p w14:paraId="2E182271">
      <w:pPr>
        <w:pStyle w:val="4"/>
      </w:pPr>
      <w:r>
        <w:t>深度与性能的非线性关系</w:t>
      </w:r>
    </w:p>
    <w:p w14:paraId="38ADD011">
      <w:pPr>
        <w:pStyle w:val="33"/>
        <w:ind w:firstLine="420"/>
      </w:pPr>
      <w:r>
        <w:t>实验结果清晰地揭示了网络深度与模型性能之间的非线性关系。在CIFAR-10这类相对中等规模的数据集上，模型的深度并非越深越好。从ResNet18到ResNet50，随着深度增加，验证准确率呈现上升趋势，从94.34%提升至95.04%，显示出深度增加带来的性能收益。然而，继续增加深度至ResNet101和ResNet152后，性能不仅未能持续提升，反而出现下降或波动。</w:t>
      </w:r>
    </w:p>
    <w:p w14:paraId="7F13DDF6">
      <w:pPr>
        <w:pStyle w:val="33"/>
        <w:ind w:firstLine="420"/>
      </w:pPr>
      <w:r>
        <w:t>这一现象可以从多个角度解释。首先，CIFAR-10的数据规模（5万训练样本）和任务复杂度相对有限，过深的网络容易出现过参数化问题，即模型容量超出了任务所需，导致优化困难和泛化能力下降。其次，深度模型虽然具有更强的表征能力，但也引入了更多的超参数和优化挑战，如学习率调度、正则化策略等需要更精细的调整。最后，在有限的训练周期内（本实验为5个epoch），深度模型可能未能充分收敛，其潜力尚未完全释放。</w:t>
      </w:r>
    </w:p>
    <w:p w14:paraId="383712A4">
      <w:pPr>
        <w:pStyle w:val="33"/>
        <w:ind w:firstLine="420"/>
      </w:pPr>
      <w:r>
        <w:t>从实用角度看，ResNet50在本实验中展现了最佳的综合性能。它在保持相对适中的计算成本的同时，实现了最高的验证准确率和良好的训练稳定性。ResNet18作为轻量级选择，在效率优先的场景下仍具有很强的竞争力。ResNet34则为性能与效率的平衡提供了另一种可行方案。而对于ResNet101和ResNet152，其在本任务中的性价比不高，更适用于计算资源充裕或需要在更大规模数据集上进行迁移学习的场景。</w:t>
      </w:r>
    </w:p>
    <w:p w14:paraId="33E53981">
      <w:pPr>
        <w:pStyle w:val="33"/>
        <w:ind w:firstLine="420"/>
        <w:rPr>
          <w:rFonts w:hint="eastAsia"/>
        </w:rPr>
      </w:pPr>
      <w:r>
        <w:t>实验结果为模型选择提供了明确的指导：在进行深度学习模型设计时，应充分考虑任务复杂度、数据规模和计算资源约束，而非盲目追求网络深度。适度的深度配合有效的训练策略，往往能够在性能、效率和稳定性之间取得最优平衡。这一结论对于后续的多模态融合研究同样具有重要启示意义，即在构建复杂的多模态系统时，各模态的特征提取器选择应基于任务特性和资源约束进行合理配置。</w:t>
      </w:r>
    </w:p>
    <w:p w14:paraId="509084AE">
      <w:pPr>
        <w:pStyle w:val="2"/>
      </w:pPr>
      <w:bookmarkStart w:id="6" w:name="_Toc217035988"/>
      <w:r>
        <w:t>基于 Qwen2.5-VL-2B 的多模态图像描述实验</w:t>
      </w:r>
    </w:p>
    <w:p w14:paraId="20696441">
      <w:r>
        <w:t>在前文实验中，本文分别基于 BERT 系列模型与 ResNet 网络，对文本与图像单模态任务进行了建模与分析。然而，单模态模型在处理跨模态信息时存在天然局限，难以对视觉内容与自然语言之间的语义对应关系进行统一建模。为进一步验证多模态模型在视觉—语言联合建模任务中的适用性，本文在此基础上引入多模态大语言模型，开展图像描述生成（Image Captioning）实验。</w:t>
      </w:r>
    </w:p>
    <w:p w14:paraId="0637DE6B">
      <w:r>
        <w:t>本章选取 COCO 2014 数据集作为实验基准，基于 Qwen2.5-VL-2B-Instruct 模型，通过参数高效微调方式进行训练与评估，重点考察模型在小样本条件下对图像语义的理解能力以及生成文本与视觉内容之间的一致性表现。</w:t>
      </w:r>
    </w:p>
    <w:p w14:paraId="7D469CE1">
      <w:pPr>
        <w:pStyle w:val="3"/>
      </w:pPr>
      <w:r>
        <w:t>数据集介绍</w:t>
      </w:r>
    </w:p>
    <w:p w14:paraId="27773FD8">
      <w:r>
        <w:t>本研究采用微软发布的 COCO（Common Objects in Context）2014 数据集作为多模态实验的数据基础。COCO 数据集广泛应用于目标检测、实例分割及图像描述等任务，具有较高的场景多样性与标注质量。</w:t>
      </w:r>
    </w:p>
    <w:p w14:paraId="24D912B1">
      <w:r>
        <w:t>COCO 2014 数据集共包含 123,287 张图像，覆盖 80 类常见物体，场景类型包括室内、室外、自然环境及日常活动等。除目标类别与实例分割标注外，该数据集为每张图像提供 5 条由人工撰写的自然语言描述，描述内容不仅包含物体信息，还涉及属性、空间关系与场景活动，为图像描述任务提供了较为完整的监督信号。</w:t>
      </w:r>
    </w:p>
    <w:p w14:paraId="36AEE63F">
      <w:r>
        <w:t>数据集官方划分包括训练集（train2014，82,783 张）、验证集（val2014，40,504 张）及测试集（test2014，40,775 张，未公开标注）。考虑到计算资源限制及实验验证目的，本文从训练集中随机抽取 500 个图文对作为微调数据，并按照 8:1:1 的比例划分为训练集、验证集和测试集。尽管样本规模有限，但 COCO 数据集在内容分布上的多样性，使得该子集仍可用于验证模型的基本多模态建模能力。</w:t>
      </w:r>
    </w:p>
    <w:p w14:paraId="628A3006">
      <w:pPr>
        <w:pStyle w:val="3"/>
      </w:pPr>
      <w:r>
        <w:t>模型架构与实验设置</w:t>
      </w:r>
    </w:p>
    <w:p w14:paraId="7AB35F66">
      <w:pPr>
        <w:pStyle w:val="14"/>
      </w:pPr>
      <w:r>
        <w:t>本实验选用 Qwen2.5-VL-2B-Instruct 作为多模态基础模型。该模型属于 Qwen2.5-VL 系列中的轻量级版本，包含约 20 亿参数，适用于视觉理解与文本生成等多模态任务。</w:t>
      </w:r>
    </w:p>
    <w:p w14:paraId="4E5FD1A7">
      <w:pPr>
        <w:pStyle w:val="14"/>
      </w:pPr>
      <w:r>
        <w:t>模型整体架构由视觉编码器、跨模态投影模块与语言模型主干三部分组成。视觉编码器采用基于 Vision Transformer 的 SigLIP 结构，将输入图像映射为一系列视觉特征表示；随后，通过多层感知机将视觉特征投影至与语言模型嵌入空间一致的维度，实现视觉信息与文本 token 的对齐；语言模型主干基于 Transformer 架构，负责对融合后的多模态表示进行建模并生成文本输出。</w:t>
      </w:r>
    </w:p>
    <w:p w14:paraId="648976BE">
      <w:pPr>
        <w:pStyle w:val="14"/>
        <w:rPr>
          <w:rFonts w:hint="eastAsia"/>
        </w:rPr>
      </w:pPr>
      <w:r>
        <w:t>在图像描述任务中，模型通过接收图像输入与文本提示，引导语言模型基于视觉特征生成对应的自然语言描述。</w:t>
      </w:r>
    </w:p>
    <w:p w14:paraId="07693296">
      <w:pPr>
        <w:pStyle w:val="3"/>
      </w:pPr>
      <w:r>
        <w:t>模型训练方法与参数配置</w:t>
      </w:r>
    </w:p>
    <w:p w14:paraId="6A277E06">
      <w:pPr>
        <w:pStyle w:val="14"/>
      </w:pPr>
      <w:r>
        <w:t>考虑到全参数微调在小样本条件下可能带来的过拟合风险，本文采用低秩自适应（LoRA）方法对模型进行参数高效微调。该方法仅对模型中部分线性层引入可训练的低秩矩阵，从而在显著减少可训练参数数量的同时，实现模型对下游任务的适配。</w:t>
      </w:r>
    </w:p>
    <w:p w14:paraId="081A99CE">
      <w:pPr>
        <w:pStyle w:val="14"/>
      </w:pPr>
      <w:r>
        <w:t>在具体实现中，LoRA 模块被注入至语言模型主干的注意力投影层及前馈网络相关层。训练过程中采用 AdamW 优化器，初始学习率设为 2e-4，并使用带热身阶段的余弦退火学习率调度策略。批大小设为 12，并通过梯度累积实现等效更大批量训练。模型最多训练 5 个 epoch，并根据验证集表现启用早停机制。</w:t>
      </w:r>
    </w:p>
    <w:p w14:paraId="5700340F">
      <w:pPr>
        <w:pStyle w:val="14"/>
        <w:rPr>
          <w:rFonts w:hint="eastAsia"/>
        </w:rPr>
      </w:pPr>
      <w:r>
        <w:t>训练数据被构造成“图像—文本”对话形式，损失函数仅在生成文本部分计算。实验在 Kaggle 平台的双 GPU 环境下完成，训练过程整体稳定，未出现显著的数值异常。</w:t>
      </w:r>
    </w:p>
    <w:p w14:paraId="325A9426">
      <w:pPr>
        <w:pStyle w:val="3"/>
      </w:pPr>
      <w:r>
        <w:t>实验结果与分析</w:t>
      </w:r>
    </w:p>
    <w:p w14:paraId="5C14CF37">
      <w:pPr>
        <w:pStyle w:val="14"/>
      </w:pPr>
      <w:r>
        <w:t>为评估微调后模型在图像描述任务中的表现，本文在保留的测试样本上对生成结果进行了系统分析，并结合多种自动评估指标与人工观察，对模型性能进行综合评估。</w:t>
      </w:r>
    </w:p>
    <w:p w14:paraId="255E5456">
      <w:pPr>
        <w:pStyle w:val="14"/>
      </w:pPr>
      <w:r>
        <w:t>从定量结果来看，模型在语义一致性相关指标上表现较为稳定。基于 BERT 嵌入计算的 BERTScore 显示，模型生成的描述在整体语义层面与人工标注具有较高相似度，说明模型能够较好地捕捉图像中的核心语义信息。同时，CIDEr 指标表明模型生成文本在关键内容覆盖方面具备一定的信息充分性。然而，在强调对象属性与关系建模的 SPICE 指标上，模型得分相对有限，反映出其在细粒度视觉语义表达方面仍存在不足。此外，CLIP-Score 的结果显示生成文本与图像内容整体相关，但在图文精确对齐方面仍有提升空间。</w:t>
      </w:r>
    </w:p>
    <w:p w14:paraId="2ED63B8A">
      <w:pPr>
        <w:pStyle w:val="14"/>
      </w:pPr>
      <w:r>
        <w:t>结合生成样例的人工观察，可以进一步分析模型的具体表现。总体而言，模型能够准确识别图像中的主要对象及其基本行为，并生成结构完整、语义通顺的描述文本。但在部分样例中，模型对场景限定信息、数量关系以及状态性描述的表达存在一定程度的简化。例如，模型可能正确识别主体与动作，却未能充分反映场景背景或动态变化。这一现象在一定程度上与训练样本规模有限有关，也反映了通用多模态模型在复杂语义细节建模上的普遍挑战。</w:t>
      </w:r>
    </w:p>
    <w:p w14:paraId="5A1276B3">
      <w:pPr>
        <w:pStyle w:val="14"/>
        <w:rPr>
          <w:rFonts w:hint="eastAsia"/>
        </w:rPr>
      </w:pPr>
      <w:r>
        <w:t>从训练过程角度来看，模型在较少训练步数内即实现收敛，训练损失呈现平稳下降趋势，验证集性能未出现明显波动，说明在当前实验设置下未发生显著过拟合。结合训练日志与资源监控信息，可以认为 LoRA 参数高效微调方法在小样本多模态任务中具有较好的稳定性与训练效率，为在有限计算资源条件下开展多模态实验提供了可行路径。</w:t>
      </w:r>
    </w:p>
    <w:p w14:paraId="02FAA545">
      <w:pPr>
        <w:pStyle w:val="2"/>
      </w:pPr>
      <w:r>
        <w:rPr>
          <w:rFonts w:hint="eastAsia"/>
        </w:rPr>
        <w:t>总结</w:t>
      </w:r>
      <w:bookmarkEnd w:id="6"/>
    </w:p>
    <w:p w14:paraId="2AC0F928">
      <w:pPr>
        <w:pStyle w:val="3"/>
      </w:pPr>
      <w:r>
        <w:t>实验结果总结</w:t>
      </w:r>
    </w:p>
    <w:p w14:paraId="1C1E3D41">
      <w:pPr>
        <w:pStyle w:val="33"/>
        <w:ind w:firstLine="420"/>
      </w:pPr>
      <w:r>
        <w:t>本研究通过系统的单模态实验验证了深度学习模型在情感识别任务中的有效性，为理解多模态技术在金融领域的应用潜力奠定了坚实基础。文本模态方面，基于BERT-BiLSTM混合架构的情感分类模型在商品评论数据集上取得了优异表现，测试集准确率达到92.31%，精确率、召回率和F1分数均保持在92%以上的高水平。实验结果表明，预训练语言模型能够有效捕捉文本的深层语义特征，而双向LSTM的引入进一步增强了对序列结构的建模能力。模型在训练过程中展现出快速收敛特性，首个训练周期即达到91.89%的验证准确率，且训练损失与验证损失保持同步下降，未出现明显的过拟合现象。</w:t>
      </w:r>
    </w:p>
    <w:p w14:paraId="4F20B4EA">
      <w:pPr>
        <w:pStyle w:val="33"/>
        <w:ind w:firstLine="420"/>
      </w:pPr>
      <w:r>
        <w:t>图像模态方面，ResNet系列模型的系统对比揭示了网络深度与性能之间的复杂关系。在CIFAR-10数据集上，ResNet50以95.04%的验证准确率取得最佳性能，展现了中等深度模型在表征能力和泛化性能之间的最优平衡。ResNet18作为最轻量级模型，虽然验证准确率（94.34%）略低，但凭借其高效的训练速度和较小的计算开销，在资源受限场景下仍具有很强的实用价值。ResNet34在性能与效率之间提供了良好的折中方案，验证准确率达到94.28%且训练稳定性较好。值得注意的是，更深的模型如ResNet101和ResNet152并未带来预期的性能提升，甚至出现了性能波动和不稳定现象，这表明在中等规模数据集上盲目增加网络深度可能适得其反。</w:t>
      </w:r>
    </w:p>
    <w:p w14:paraId="7FF94E38">
      <w:pPr>
        <w:pStyle w:val="33"/>
        <w:ind w:firstLine="420"/>
      </w:pPr>
      <w:r>
        <w:t>多模态模型方面，本研究进一步探索了视觉与语言模态的深度融合机制，通过基于Qwen2.5-VL-2B-Instruct模型的图像描述生成实验，验证了多模态大语言模型在跨模态理解与生成任务上的基本能力。在COCO 2014数据集上，采用低秩自适应（LoRA）策略对模型进行参数高效微调，仅优化约0.69%的可训练参数，即实现了从视觉输入到自然语言描述的有效映射。定量评估结果显示，模型在语义一致性（BERTScore-F1: 0.9223）和信息多样性（CIDEr: 1.0525）上表现优异，表明其生成描述与人类标注在核心语义上高度吻合。然而，在细粒度属性与关系刻画（SPICE: 0.2614）及严格的图文对齐度（CLIP-Score: 0.3084）上仍有明显提升空间，这揭示了当前模型在理解复杂视觉细节与空间关系方面的共性挑战。训练过程分析表明，模型在极小规模数据（500图文对）和极短周期内快速收敛，验证了LoRA技术在多模态大模型轻量化适配中的高效性与稳定性，为资源受限环境下部署复杂多模态系统提供了可行路径。该实验成功桥接了视觉感知与语言生成，证明通过结构化提示与高效微调，通用多模态模型可被快速引导至特定描述生成任务，为后续面向金融图表、新闻配图等专业领域的多模态情景描述与报告自动生成奠定了技术原型。</w:t>
      </w:r>
    </w:p>
    <w:p w14:paraId="6E620C32">
      <w:pPr>
        <w:pStyle w:val="3"/>
      </w:pPr>
      <w:r>
        <w:t>研究局限性</w:t>
      </w:r>
    </w:p>
    <w:p w14:paraId="6672190B">
      <w:pPr>
        <w:ind w:firstLine="420"/>
      </w:pPr>
      <w:r>
        <w:rPr>
          <w:rFonts w:hint="eastAsia"/>
        </w:rPr>
        <w:t>本研究在取得阶段性成果的同时，也存在一些客观局限性。数据集方面，文本情感分类实验采用的商品评论数据集虽然涵盖了十大类别，但与金融领域的实际应用场景仍存在较大差距。金融文本往往包含专业术语、复杂的语义结构和特定的情感表达方式，而商品评论的情感表达相对直接和简单。图像分类实验使用的CIFAR-10数据集同样属于通用图像识别任务，与金融场景中的K线图、技术指标图等专业图表在视觉特征和语义内涵上有本质区别。多模态实验所采用的COCO 2014数据集，虽为图像描述领域的基准，但其自然场景图像与金融可视化图表（如走势图、饼图、热力图）在构图逻辑、符号体系及信息密度上差异显著，导致在此数据上训练的模型难以直接捕捉金融图表中蕴含的时序趋势、比例关系与异常波动等关键语义。 因此，实验结果在向金融情感识别任务迁移时需要谨慎对待，可能需要针对性的数据增强和模型调整。</w:t>
      </w:r>
    </w:p>
    <w:p w14:paraId="6C3E25EB">
      <w:pPr>
        <w:ind w:firstLine="420"/>
      </w:pPr>
      <w:r>
        <w:rPr>
          <w:rFonts w:hint="eastAsia"/>
        </w:rPr>
        <w:t>模型设计方面，本研究采用的BERT和ResNet均为经典的预训练模型，虽然具有良好的迁移学习能力，但并未针对金融领域进行专门的预训练或微调。金融领域的语言模型如FinBERT等通过在大规模金融文本上进行二次预训练，能够更好地理解金融语境和行业特定的情感表达。同样，针对金融图表的视觉模型也可能需要特殊的架构设计或训练策略。此外，多模态实验选用的Qwen2.5-VL-2B-Instruct作为通用多模态模型，其视觉编码器（SigLIP）与语言主干（Qwen2.5）的预训练目标与金融多模态理解任务（如从财报图文综合推断公司健康状况）并非完全对齐；所采用的LoRA微调方式虽高效，但低秩适配的表示能力可能不足以学习金融领域特有的、高度复杂的跨模态关联模式。 此外，文本模态实验中采用的冻结BERT参数策略虽然降低了训练成本，但也限制了模型的适应能力，完整的端到端微调可能带来更优的性能表现。</w:t>
      </w:r>
    </w:p>
    <w:p w14:paraId="1821784D">
      <w:pPr>
        <w:ind w:firstLine="420"/>
      </w:pPr>
      <w:r>
        <w:rPr>
          <w:rFonts w:hint="eastAsia"/>
        </w:rPr>
        <w:t>多模态融合方面，受限于计算资源和时间约束，本研究未能完成原始论文中提出的专家模型伪标签生成和跨模态深度融合实验。多模态情感识别的核心价值在于融合不同模态信息的互补优势，而单独的单模态实验虽然验证了各模态的有效性，但无法直接体现跨模态协同带来的性能提升。LLM驱动的伪标签生成机制需要大规模预训练模型和高性能计算资源的支持，跨模态对齐和融合同样涉及复杂的模型设计和训练过程。尽管补充的多模态实验实现了初步的图文描述生成，但其本质上仍是一种“视觉输入-文本输出”的生成式任务，与金融情感识别所需的“多模态输入-情感标签输出”的分类式任务在目标函数、评估方式和信息利用粒度上存在不同。真正的多模态情感识别需要构建能够同时、协同处理文本（新闻、评论）与图像（图表、公告截图）的融合架构，并建立高质量、细粒度的金融多模态情感标注数据集，这部分核心工作仍有待完成。 这些工作的缺失使得本研究在展示多模态技术完整价值方面存在不足。</w:t>
      </w:r>
    </w:p>
    <w:p w14:paraId="42A4C42B">
      <w:pPr>
        <w:ind w:firstLine="420"/>
      </w:pPr>
      <w:r>
        <w:rPr>
          <w:rFonts w:hint="eastAsia"/>
        </w:rPr>
        <w:t>计算资源约束是影响研究深度的重要因素。实验主要依托Kaggle和SwanLab等在线平台提供的免费GPU资源，单次会话的计算时间和内存容量受到平台政策限制。这限制了模型规模、训练周期数和超参数搜索空间，可能使某些模型未能充分发挥其潜力。例如，ResNet系列模型在5个训练周期后可能尚未完全收敛，更深的模型可能需要更多的训练时间和更精细的学习率调度才能展现其优势。对于多模态大模型Qwen2.5-VL-2B的微调，受限于资源，仅进行了小规模数据（500样本）和少量步数（62步）的实验，未能探索全参数微调、更大规模金融图文数据训练以及不同LoRA配置（如秩大小、目标模块）对性能的全面影响，其结论的普适性有待进一步验证。 数据规模方面，受限于公开数据集的可获取性，实验数据量相对有限，这对于数据驱动的深度学习模型而言可能影响其泛化能力的充分展现。</w:t>
      </w:r>
    </w:p>
    <w:p w14:paraId="04E575F4"/>
    <w:p w14:paraId="7298B1CC">
      <w:pPr>
        <w:pStyle w:val="3"/>
      </w:pPr>
      <w:r>
        <w:t>未来研究方向</w:t>
      </w:r>
    </w:p>
    <w:p w14:paraId="0FB38244">
      <w:pPr>
        <w:spacing w:before="0" w:beforeAutospacing="0" w:after="0" w:afterAutospacing="0"/>
        <w:ind w:firstLine="420"/>
        <w:rPr>
          <w:rFonts w:ascii="宋体" w:hAnsi="宋体"/>
        </w:rPr>
      </w:pPr>
      <w:r>
        <w:rPr>
          <w:rFonts w:hint="eastAsia" w:ascii="宋体" w:hAnsi="宋体"/>
        </w:rPr>
        <w:t>基于本研究的发现和局限性，未来工作可以在多个方向上进行拓展和深化。多模态融合架构的构建是最直接和重要的后续工作。在单模态实验验证的基础上，可以设计并实现文本-图像跨模态融合模型，探索不同融合策略的有效性。早期融合、后期融合和混合融合等不同范式各有优劣，需要通过实验比较确定最适合金融情感识别任务的方案。注意力机制和Transformer架构为跨模态信息交互提供了强大的工具，通过跨模态注意力机制，可以让文本特征引导图像特征的提取，反之亦然，实现更深层次的模态协同。此外，应借鉴并扩展本次多模态实验的经验，探索适用于金融领域的多模态大模型微调范式。重点研究如何将Qwen2.5-VL等通用模型高效适配至金融图文理解任务，例如，开发金融专用的视觉提示模板、构建高质量的指令微调数据、探索结合领域知识图谱的增强微调方法，并系统比较LoRA、Prefix-Tuning等不同PEFT策略在金融多模态任务上的效能。此外，对比学习等自监督学习方法在多模态对齐中展现出巨大潜力，值得在金融场景中进行探索。</w:t>
      </w:r>
    </w:p>
    <w:p w14:paraId="74992BE3">
      <w:pPr>
        <w:spacing w:before="0" w:beforeAutospacing="0" w:after="0" w:afterAutospacing="0"/>
        <w:rPr>
          <w:rFonts w:ascii="宋体" w:hAnsi="宋体"/>
        </w:rPr>
      </w:pPr>
    </w:p>
    <w:p w14:paraId="3335A4B8">
      <w:pPr>
        <w:spacing w:before="0" w:beforeAutospacing="0" w:after="0" w:afterAutospacing="0"/>
        <w:ind w:firstLine="420"/>
        <w:rPr>
          <w:rFonts w:ascii="宋体" w:hAnsi="宋体"/>
        </w:rPr>
      </w:pPr>
      <w:r>
        <w:rPr>
          <w:rFonts w:hint="eastAsia" w:ascii="宋体" w:hAnsi="宋体"/>
        </w:rPr>
        <w:t>金融领域专用模型的开发是提升实际应用价值的关键路径。针对金融文本，可以基于BERT架构在大规模金融新闻、财报、研报等语料上进行领域自适应预训练，构建金融专用语言模型。针对金融图表，可以设计专门的视觉编码器，学习K线形态、技术指标模式等领域特定的视觉特征。更进一步，可以构想并研发面向金融的“原生”多模态预训练模型。其核心在于构建统一的金融多模态预训练任务，例如掩码图表区域预测、图文对比匹配、基于财报文本的图表生成等，利用海量未标注或弱标注的金融图文数据（如上市公司公告、券商研究报告、财经新闻配图），从头开始或基于通用基础模型进行持续预训练，使模型内生出对金融语境下图文关联的深层理解能力。 这类模型的开发需要大规模金融数据的支持，可以考虑与金融机构或数据服务商合作，获取更丰富和真实的数据资源。</w:t>
      </w:r>
    </w:p>
    <w:p w14:paraId="2BFCE70F">
      <w:pPr>
        <w:spacing w:before="0" w:beforeAutospacing="0" w:after="0" w:afterAutospacing="0"/>
        <w:rPr>
          <w:rFonts w:ascii="宋体" w:hAnsi="宋体"/>
        </w:rPr>
      </w:pPr>
    </w:p>
    <w:p w14:paraId="2038F77A">
      <w:pPr>
        <w:spacing w:before="0" w:beforeAutospacing="0" w:after="0" w:afterAutospacing="0"/>
        <w:ind w:firstLine="420"/>
        <w:rPr>
          <w:rFonts w:ascii="宋体" w:hAnsi="宋体"/>
        </w:rPr>
      </w:pPr>
      <w:r>
        <w:rPr>
          <w:rFonts w:hint="eastAsia" w:ascii="宋体" w:hAnsi="宋体"/>
        </w:rPr>
        <w:t>跨市场泛化能力的研究对于多模态金融应用的推广至关重要。不同国家和地区的金融市场在交易机制、投资者结构、信息披露制度等方面存在显著差异，这些差异可能导致情感表达方式和市场反应模式的不同。研究如何使模型在一个市场上训练后能够有效迁移到其他市场，或者如何设计跨市场通用的特征表示，是具有重要理论和实践价值的课题。元学习、领域自适应等技术可能为解决这一问题提供思路。在多模态语境下，该挑战更为复杂，需同时处理文本语言差异和图表规范差异。未来可研究跨语言、跨市场的多模态表示学习，利用翻译技术、视觉风格迁移等手段对齐不同市场的多模态数据分布，或开发具备强泛化能力的多模态架构，使其能够从数据中解耦出市场无关的通用金融语义特征。 同时，可以构建多语言、多市场的大规模数据集，为跨市场研究提供数据基础。</w:t>
      </w:r>
    </w:p>
    <w:p w14:paraId="447AD2AB">
      <w:pPr>
        <w:spacing w:before="0" w:beforeAutospacing="0" w:after="0" w:afterAutospacing="0"/>
        <w:rPr>
          <w:rFonts w:ascii="宋体" w:hAnsi="宋体"/>
        </w:rPr>
      </w:pPr>
    </w:p>
    <w:p w14:paraId="36F0D1AC">
      <w:pPr>
        <w:spacing w:before="0" w:beforeAutospacing="0" w:after="0" w:afterAutospacing="0"/>
        <w:ind w:firstLine="420"/>
        <w:rPr>
          <w:rFonts w:ascii="宋体" w:hAnsi="宋体"/>
        </w:rPr>
      </w:pPr>
      <w:r>
        <w:rPr>
          <w:rFonts w:hint="eastAsia" w:ascii="宋体" w:hAnsi="宋体"/>
        </w:rPr>
        <w:t>实时性优化是多模态系统走向实际应用的必经之路。金融市场瞬息万变，情绪识别系统必须具备快速响应能力。当前的多模态模型往往结构复杂、参数量大，推理延迟较高。未来研究可以探索模型压缩技术如知识蒸馏、剪枝、量化等，在保持性能的前提下大幅降低模型规模。针对多模态大模型，需设计高效的轻量化策略。例如，探索视觉编码器的选择性激活、开发面向金融图表的高效稀疏注意力机制、或设计级联推理流程，先使用轻量模型筛选关键信息，再触发大模型进行深度分析。此外，研究多模态特征的缓存与增量更新机制，对于处理实时数据流具有重要意义。 此外，可以研究增量学习和在线学习方法，使模型能够快速适应新出现的市场模式而无需完整重训练。边缘计算架构的引入也值得考虑，通过将部分计算任务下沉到边缘设备，可以降低网络延迟并提升系统整体响应速度。</w:t>
      </w:r>
    </w:p>
    <w:p w14:paraId="4FA88E5F">
      <w:pPr>
        <w:spacing w:before="0" w:beforeAutospacing="0" w:after="0" w:afterAutospacing="0"/>
        <w:rPr>
          <w:rFonts w:ascii="宋体" w:hAnsi="宋体"/>
        </w:rPr>
      </w:pPr>
    </w:p>
    <w:p w14:paraId="106AB904">
      <w:pPr>
        <w:spacing w:before="0" w:beforeAutospacing="0" w:after="0" w:afterAutospacing="0"/>
        <w:ind w:firstLine="420"/>
        <w:rPr>
          <w:rFonts w:ascii="宋体" w:hAnsi="宋体"/>
        </w:rPr>
      </w:pPr>
      <w:r>
        <w:rPr>
          <w:rFonts w:hint="eastAsia" w:ascii="宋体" w:hAnsi="宋体"/>
        </w:rPr>
        <w:t>模型可解释性的提升对于金融应用的可信度和监管合规性至关重要。深度学习模型常被批评为“黑箱”，其决策过程难以理解和验证。在金融领域，监管机构和投资者都需要了解模型为何做出某种情感判断。注意力可视化、特征重要性分析、反事实解释等技术可以帮助揭示模型的决策逻辑。对于多模态模型，可解释性挑战加倍。需要发展能够同时解释文本和视觉特征如何共同影响最终决策的方法。例如，生成跨模态的归因图，可视化哪些文本词汇和哪些图像区域共同导致了特定的情感判断；或利用大型语言模型的推理能力，生成对多模态模型决策过程的自然语言描述报告。 更进一步，可以探索神经符号融合方法，将深度学习的强大表征能力与符号推理的可解释性结合起来，构建既准确又可理解的情感识别系统。建立标准化的模型评估和解释框架，也有助于推动多模态金融应用的规范化发展。</w:t>
      </w:r>
    </w:p>
    <w:p w14:paraId="69489482">
      <w:pPr>
        <w:spacing w:before="0" w:beforeAutospacing="0" w:after="0" w:afterAutospacing="0"/>
        <w:rPr>
          <w:rFonts w:ascii="宋体" w:hAnsi="宋体"/>
        </w:rPr>
      </w:pPr>
    </w:p>
    <w:p w14:paraId="20763910">
      <w:pPr>
        <w:spacing w:before="0" w:beforeAutospacing="0" w:after="0" w:afterAutospacing="0"/>
        <w:ind w:firstLine="420"/>
        <w:rPr>
          <w:rFonts w:ascii="宋体" w:hAnsi="宋体"/>
        </w:rPr>
      </w:pPr>
      <w:r>
        <w:rPr>
          <w:rFonts w:hint="eastAsia" w:ascii="宋体" w:hAnsi="宋体"/>
        </w:rPr>
        <w:t>数据质量与标注成本的平衡是实际部署中的长期挑战。高质量的多模态标注数据获取成本高昂，限制了模型训练和迭代。主动学习技术可以通过智能样本选择策略，用较少的标注数据达到相近的性能。半监督学习和自监督学习利用大量未标注数据进行预训练，然后在少量标注数据上微调，是另一种有效的策略。在多模态金融场景下，应充分利用现有大量未标注的金融图文数据。探索基于通用多模态大模型（如本次实验所用的Qwen2.5-VL）的零样本或小样本能力进行初步标注或数据增强，构建高质量的种子数据集。同时，研究针对金融图文对的自监督预训练任务，从无标注数据中自动学习有效的跨模态表示，大幅降低对昂贵人工标注的依赖。 零样本学习和少样本学习则探索如何在极少样本甚至无样本的情况下完成新任务，这对于快速适应新兴市场现象具有重要意义。此外，众包标注平台的引入和质量控制机制的建立，可以在一定程度上缓解标注成本问题。</w:t>
      </w:r>
    </w:p>
    <w:p w14:paraId="7277DB9F">
      <w:pPr>
        <w:spacing w:before="0" w:beforeAutospacing="0" w:after="0" w:afterAutospacing="0"/>
        <w:rPr>
          <w:rFonts w:ascii="宋体" w:hAnsi="宋体"/>
        </w:rPr>
      </w:pPr>
    </w:p>
    <w:p w14:paraId="6C8BF7EA">
      <w:pPr>
        <w:spacing w:before="0" w:beforeAutospacing="0" w:after="0" w:afterAutospacing="0"/>
        <w:ind w:firstLine="420"/>
      </w:pPr>
      <w:r>
        <w:rPr>
          <w:rFonts w:hint="eastAsia" w:ascii="宋体" w:hAnsi="宋体"/>
        </w:rPr>
        <w:t>综上所述，多模态技术在金融情感识别领域具有广阔的应用前景，但从研究原型到实际部署仍需克服诸多挑战。本研究通过系统的单模态实验及初步的多模态探索，为理解多模态技术的基础能力提供了实证支持，也为后续的深入研究指明了方向。随着计算资源的日益丰富、算法技术的持续进步以及金融数据的逐步开放，多模态情感识别系统有望在金融决策、风险管理、投资者服务等场景中发挥越来越重要的作用，推动金融科技的智能化升级。</w:t>
      </w:r>
      <w:r>
        <w:br w:type="page"/>
      </w:r>
    </w:p>
    <w:p w14:paraId="7BAD5334">
      <w:pPr>
        <w:pStyle w:val="2"/>
        <w:numPr>
          <w:ilvl w:val="0"/>
          <w:numId w:val="0"/>
        </w:numPr>
      </w:pPr>
      <w:bookmarkStart w:id="7" w:name="_Toc217035989"/>
      <w:r>
        <w:rPr>
          <w:rFonts w:hint="eastAsia"/>
        </w:rPr>
        <w:t>参考文献</w:t>
      </w:r>
      <w:bookmarkEnd w:id="7"/>
    </w:p>
    <w:p w14:paraId="3B72E94B">
      <w:pPr>
        <w:pStyle w:val="28"/>
        <w:numPr>
          <w:ilvl w:val="0"/>
          <w:numId w:val="2"/>
        </w:numPr>
        <w:ind w:firstLineChars="0"/>
      </w:pPr>
      <w:r>
        <w:t>周浩榕. 多模态大语言模型综述[J]. 计算机学报, 2025.</w:t>
      </w:r>
    </w:p>
    <w:p w14:paraId="426CC287">
      <w:pPr>
        <w:pStyle w:val="28"/>
        <w:numPr>
          <w:ilvl w:val="0"/>
          <w:numId w:val="2"/>
        </w:numPr>
        <w:ind w:firstLineChars="0"/>
      </w:pPr>
      <w:r>
        <w:t>吴友政, 李浩然, 姚霆, 等. 多模态信息处理前沿综述：应用、融合和预训练[J]. 中文信息学报, 2022, 36(5): 1-20.</w:t>
      </w:r>
    </w:p>
    <w:p w14:paraId="616F9E8A">
      <w:pPr>
        <w:pStyle w:val="28"/>
        <w:numPr>
          <w:ilvl w:val="0"/>
          <w:numId w:val="2"/>
        </w:numPr>
        <w:ind w:firstLineChars="0"/>
      </w:pPr>
      <w:r>
        <w:t>李萍, 王丽丽. 国内多模态技术的研究现状与发展趋势：基于CiteSpace的可视化分析[J]. 智能计算机与应用, 2025, 15(1): 194-202.</w:t>
      </w:r>
    </w:p>
    <w:p w14:paraId="12220ABF">
      <w:pPr>
        <w:pStyle w:val="28"/>
        <w:numPr>
          <w:ilvl w:val="0"/>
          <w:numId w:val="2"/>
        </w:numPr>
        <w:ind w:firstLineChars="0"/>
      </w:pPr>
      <w:r>
        <w:t>赵亚芳, 梁志剑. 基于对话的多模态情感分析技术研究[J]. 电子测量技术, 2025.</w:t>
      </w:r>
    </w:p>
    <w:p w14:paraId="3F030978">
      <w:pPr>
        <w:pStyle w:val="28"/>
        <w:numPr>
          <w:ilvl w:val="0"/>
          <w:numId w:val="2"/>
        </w:numPr>
        <w:ind w:firstLineChars="0"/>
      </w:pPr>
      <w:r>
        <w:t>向志华. 基于多模态数据融合分析的情感感知与分类算法设计[J]. 现代电子技术, 2025, 48(23): 144-150.</w:t>
      </w:r>
    </w:p>
    <w:p w14:paraId="728F1064">
      <w:pPr>
        <w:pStyle w:val="28"/>
        <w:numPr>
          <w:ilvl w:val="0"/>
          <w:numId w:val="2"/>
        </w:numPr>
        <w:ind w:firstLineChars="0"/>
      </w:pPr>
      <w:r>
        <w:t>张瑞, 卞志鹏. 面向推荐系统的多模态生成研究综述[J]. 计算机科学与探索, 2025.</w:t>
      </w:r>
    </w:p>
    <w:p w14:paraId="2EE8CE3F">
      <w:pPr>
        <w:pStyle w:val="28"/>
        <w:numPr>
          <w:ilvl w:val="0"/>
          <w:numId w:val="2"/>
        </w:numPr>
        <w:ind w:firstLineChars="0"/>
      </w:pPr>
      <w:r>
        <w:rPr>
          <w:lang w:val="fr-FR"/>
        </w:rPr>
        <w:t xml:space="preserve">CHEN Y, ZHANG L, XIE Z, et al. </w:t>
      </w:r>
      <w:r>
        <w:t>Unraveling asset pricing with AI: A systematic literature review[J]. Applied Soft Computing, 2025, 175: 112978.</w:t>
      </w:r>
    </w:p>
    <w:p w14:paraId="20F0BA22">
      <w:pPr>
        <w:pStyle w:val="28"/>
        <w:numPr>
          <w:ilvl w:val="0"/>
          <w:numId w:val="2"/>
        </w:numPr>
        <w:ind w:firstLineChars="0"/>
      </w:pPr>
      <w:r>
        <w:t>Multimodal stock market emotion recognition model trained with a large language model[J].</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C67B53"/>
    <w:multiLevelType w:val="multilevel"/>
    <w:tmpl w:val="11C67B5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B1D5247"/>
    <w:multiLevelType w:val="multilevel"/>
    <w:tmpl w:val="1B1D5247"/>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pStyle w:val="4"/>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60D"/>
    <w:rsid w:val="00004B8D"/>
    <w:rsid w:val="000118CB"/>
    <w:rsid w:val="00020979"/>
    <w:rsid w:val="00027488"/>
    <w:rsid w:val="000310BD"/>
    <w:rsid w:val="00044CFF"/>
    <w:rsid w:val="00055FF9"/>
    <w:rsid w:val="0007195F"/>
    <w:rsid w:val="000740BE"/>
    <w:rsid w:val="000774C3"/>
    <w:rsid w:val="0008695D"/>
    <w:rsid w:val="000B746A"/>
    <w:rsid w:val="000D36E1"/>
    <w:rsid w:val="000D4E47"/>
    <w:rsid w:val="000E5132"/>
    <w:rsid w:val="000F3B8D"/>
    <w:rsid w:val="00101E54"/>
    <w:rsid w:val="001044BA"/>
    <w:rsid w:val="00105C90"/>
    <w:rsid w:val="00113B75"/>
    <w:rsid w:val="00120617"/>
    <w:rsid w:val="00125AD0"/>
    <w:rsid w:val="00133506"/>
    <w:rsid w:val="00135AE5"/>
    <w:rsid w:val="001377BC"/>
    <w:rsid w:val="0014626F"/>
    <w:rsid w:val="001533FE"/>
    <w:rsid w:val="00163C04"/>
    <w:rsid w:val="00177E76"/>
    <w:rsid w:val="001A2085"/>
    <w:rsid w:val="001B2BCE"/>
    <w:rsid w:val="001B3868"/>
    <w:rsid w:val="001C28C9"/>
    <w:rsid w:val="001E520C"/>
    <w:rsid w:val="002001DA"/>
    <w:rsid w:val="002212FF"/>
    <w:rsid w:val="00223332"/>
    <w:rsid w:val="0024641A"/>
    <w:rsid w:val="00273CDB"/>
    <w:rsid w:val="002953A4"/>
    <w:rsid w:val="002D7F15"/>
    <w:rsid w:val="002F5900"/>
    <w:rsid w:val="0030263E"/>
    <w:rsid w:val="00323A62"/>
    <w:rsid w:val="003346C8"/>
    <w:rsid w:val="00345899"/>
    <w:rsid w:val="0038079D"/>
    <w:rsid w:val="00383F03"/>
    <w:rsid w:val="003C5C01"/>
    <w:rsid w:val="003E0DDA"/>
    <w:rsid w:val="003E4DE6"/>
    <w:rsid w:val="003E714F"/>
    <w:rsid w:val="003F5526"/>
    <w:rsid w:val="004009F5"/>
    <w:rsid w:val="00401150"/>
    <w:rsid w:val="00406876"/>
    <w:rsid w:val="004674C8"/>
    <w:rsid w:val="004C2B8B"/>
    <w:rsid w:val="004E57E7"/>
    <w:rsid w:val="00513841"/>
    <w:rsid w:val="005142B6"/>
    <w:rsid w:val="0051675E"/>
    <w:rsid w:val="0054474C"/>
    <w:rsid w:val="00564DCB"/>
    <w:rsid w:val="005B0C44"/>
    <w:rsid w:val="005C1F03"/>
    <w:rsid w:val="00615F91"/>
    <w:rsid w:val="00661B1B"/>
    <w:rsid w:val="00665EBA"/>
    <w:rsid w:val="00666156"/>
    <w:rsid w:val="00673D80"/>
    <w:rsid w:val="00697DE6"/>
    <w:rsid w:val="006A13A1"/>
    <w:rsid w:val="006F143F"/>
    <w:rsid w:val="006F2769"/>
    <w:rsid w:val="00730781"/>
    <w:rsid w:val="00734972"/>
    <w:rsid w:val="00741551"/>
    <w:rsid w:val="00773441"/>
    <w:rsid w:val="007A27FB"/>
    <w:rsid w:val="007B7D03"/>
    <w:rsid w:val="007E000D"/>
    <w:rsid w:val="007E0A48"/>
    <w:rsid w:val="008034FB"/>
    <w:rsid w:val="00806DFE"/>
    <w:rsid w:val="00830CE4"/>
    <w:rsid w:val="00834759"/>
    <w:rsid w:val="00841070"/>
    <w:rsid w:val="00843B25"/>
    <w:rsid w:val="00865699"/>
    <w:rsid w:val="008C2BE6"/>
    <w:rsid w:val="008C3379"/>
    <w:rsid w:val="008D1C0D"/>
    <w:rsid w:val="008D7B2B"/>
    <w:rsid w:val="008E67EF"/>
    <w:rsid w:val="008F6328"/>
    <w:rsid w:val="009038E3"/>
    <w:rsid w:val="009109BC"/>
    <w:rsid w:val="00923313"/>
    <w:rsid w:val="00951EC0"/>
    <w:rsid w:val="009633D5"/>
    <w:rsid w:val="00971A6C"/>
    <w:rsid w:val="009B5788"/>
    <w:rsid w:val="009D117E"/>
    <w:rsid w:val="00A04AF6"/>
    <w:rsid w:val="00A23A29"/>
    <w:rsid w:val="00A333C0"/>
    <w:rsid w:val="00A36C6D"/>
    <w:rsid w:val="00A45636"/>
    <w:rsid w:val="00A57DA8"/>
    <w:rsid w:val="00A60451"/>
    <w:rsid w:val="00A84B7C"/>
    <w:rsid w:val="00AB33DC"/>
    <w:rsid w:val="00AD019E"/>
    <w:rsid w:val="00AE2F45"/>
    <w:rsid w:val="00AF274C"/>
    <w:rsid w:val="00B0044C"/>
    <w:rsid w:val="00B06F2E"/>
    <w:rsid w:val="00B26CD1"/>
    <w:rsid w:val="00B376AE"/>
    <w:rsid w:val="00B65589"/>
    <w:rsid w:val="00B84F27"/>
    <w:rsid w:val="00B96912"/>
    <w:rsid w:val="00BA0273"/>
    <w:rsid w:val="00BC4B47"/>
    <w:rsid w:val="00BF2F76"/>
    <w:rsid w:val="00C040C2"/>
    <w:rsid w:val="00C04941"/>
    <w:rsid w:val="00C12679"/>
    <w:rsid w:val="00C44ADB"/>
    <w:rsid w:val="00C550B4"/>
    <w:rsid w:val="00C64005"/>
    <w:rsid w:val="00C74CE5"/>
    <w:rsid w:val="00C95228"/>
    <w:rsid w:val="00CB4D3B"/>
    <w:rsid w:val="00CC4C2B"/>
    <w:rsid w:val="00CD4E64"/>
    <w:rsid w:val="00CE1350"/>
    <w:rsid w:val="00CE3A89"/>
    <w:rsid w:val="00D23A34"/>
    <w:rsid w:val="00D24744"/>
    <w:rsid w:val="00D2736A"/>
    <w:rsid w:val="00D562CC"/>
    <w:rsid w:val="00D6280E"/>
    <w:rsid w:val="00D67CD9"/>
    <w:rsid w:val="00D90DEE"/>
    <w:rsid w:val="00D9360D"/>
    <w:rsid w:val="00DC37AA"/>
    <w:rsid w:val="00DD3306"/>
    <w:rsid w:val="00DD4C5C"/>
    <w:rsid w:val="00DE53D1"/>
    <w:rsid w:val="00DF73BD"/>
    <w:rsid w:val="00E00271"/>
    <w:rsid w:val="00E14862"/>
    <w:rsid w:val="00E35A7C"/>
    <w:rsid w:val="00E368A0"/>
    <w:rsid w:val="00E6388D"/>
    <w:rsid w:val="00E7180F"/>
    <w:rsid w:val="00E82938"/>
    <w:rsid w:val="00EA6A47"/>
    <w:rsid w:val="00EF0C88"/>
    <w:rsid w:val="00EF51CE"/>
    <w:rsid w:val="00F205A9"/>
    <w:rsid w:val="00F276D1"/>
    <w:rsid w:val="00F37986"/>
    <w:rsid w:val="00F45C4A"/>
    <w:rsid w:val="00F46ECB"/>
    <w:rsid w:val="00F51011"/>
    <w:rsid w:val="00F7348D"/>
    <w:rsid w:val="00F736DE"/>
    <w:rsid w:val="00FC5766"/>
    <w:rsid w:val="00FC6AFC"/>
    <w:rsid w:val="0AB03534"/>
    <w:rsid w:val="29A9039D"/>
    <w:rsid w:val="2C2E2AE1"/>
    <w:rsid w:val="4E305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pPr>
    <w:rPr>
      <w:rFonts w:ascii="Times New Roman" w:hAnsi="Times New Roman" w:eastAsia="宋体" w:cs="宋体"/>
      <w:sz w:val="24"/>
      <w:szCs w:val="24"/>
      <w:lang w:val="en-US" w:eastAsia="zh-CN" w:bidi="ar-SA"/>
    </w:rPr>
  </w:style>
  <w:style w:type="paragraph" w:styleId="2">
    <w:name w:val="heading 1"/>
    <w:basedOn w:val="1"/>
    <w:next w:val="1"/>
    <w:link w:val="29"/>
    <w:qFormat/>
    <w:uiPriority w:val="9"/>
    <w:pPr>
      <w:keepNext/>
      <w:keepLines/>
      <w:numPr>
        <w:ilvl w:val="0"/>
        <w:numId w:val="1"/>
      </w:numPr>
      <w:outlineLvl w:val="0"/>
    </w:pPr>
    <w:rPr>
      <w:b/>
      <w:bCs/>
      <w:kern w:val="44"/>
      <w:sz w:val="28"/>
      <w:szCs w:val="44"/>
    </w:rPr>
  </w:style>
  <w:style w:type="paragraph" w:styleId="3">
    <w:name w:val="heading 2"/>
    <w:basedOn w:val="1"/>
    <w:next w:val="1"/>
    <w:link w:val="30"/>
    <w:unhideWhenUsed/>
    <w:qFormat/>
    <w:uiPriority w:val="9"/>
    <w:pPr>
      <w:keepNext/>
      <w:keepLines/>
      <w:numPr>
        <w:ilvl w:val="1"/>
        <w:numId w:val="1"/>
      </w:numPr>
      <w:outlineLvl w:val="1"/>
    </w:pPr>
    <w:rPr>
      <w:rFonts w:asciiTheme="majorHAnsi" w:hAnsiTheme="majorHAnsi" w:cstheme="majorBidi"/>
      <w:bCs/>
      <w:szCs w:val="32"/>
    </w:rPr>
  </w:style>
  <w:style w:type="paragraph" w:styleId="4">
    <w:name w:val="heading 3"/>
    <w:basedOn w:val="1"/>
    <w:next w:val="1"/>
    <w:link w:val="31"/>
    <w:unhideWhenUsed/>
    <w:qFormat/>
    <w:uiPriority w:val="9"/>
    <w:pPr>
      <w:keepNext/>
      <w:keepLines/>
      <w:numPr>
        <w:ilvl w:val="2"/>
        <w:numId w:val="1"/>
      </w:numPr>
      <w:spacing w:before="260" w:after="260" w:line="416" w:lineRule="auto"/>
      <w:outlineLvl w:val="2"/>
    </w:pPr>
    <w:rPr>
      <w:bCs/>
      <w:szCs w:val="32"/>
    </w:rPr>
  </w:style>
  <w:style w:type="paragraph" w:styleId="5">
    <w:name w:val="heading 4"/>
    <w:basedOn w:val="1"/>
    <w:next w:val="1"/>
    <w:link w:val="32"/>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annotation text"/>
    <w:basedOn w:val="1"/>
    <w:link w:val="23"/>
    <w:semiHidden/>
    <w:unhideWhenUsed/>
    <w:qFormat/>
    <w:uiPriority w:val="99"/>
  </w:style>
  <w:style w:type="paragraph" w:styleId="8">
    <w:name w:val="toc 3"/>
    <w:basedOn w:val="1"/>
    <w:next w:val="1"/>
    <w:autoRedefine/>
    <w:unhideWhenUsed/>
    <w:qFormat/>
    <w:uiPriority w:val="39"/>
    <w:pPr>
      <w:ind w:left="840" w:leftChars="400"/>
    </w:pPr>
  </w:style>
  <w:style w:type="paragraph" w:styleId="9">
    <w:name w:val="Balloon Text"/>
    <w:basedOn w:val="1"/>
    <w:link w:val="25"/>
    <w:semiHidden/>
    <w:unhideWhenUsed/>
    <w:qFormat/>
    <w:uiPriority w:val="99"/>
    <w:rPr>
      <w:sz w:val="18"/>
      <w:szCs w:val="18"/>
    </w:rPr>
  </w:style>
  <w:style w:type="paragraph" w:styleId="10">
    <w:name w:val="footer"/>
    <w:basedOn w:val="1"/>
    <w:link w:val="27"/>
    <w:unhideWhenUsed/>
    <w:qFormat/>
    <w:uiPriority w:val="99"/>
    <w:pPr>
      <w:tabs>
        <w:tab w:val="center" w:pos="4153"/>
        <w:tab w:val="right" w:pos="8306"/>
      </w:tabs>
      <w:snapToGrid w:val="0"/>
    </w:pPr>
    <w:rPr>
      <w:sz w:val="18"/>
      <w:szCs w:val="18"/>
    </w:rPr>
  </w:style>
  <w:style w:type="paragraph" w:styleId="11">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style>
  <w:style w:type="paragraph" w:styleId="13">
    <w:name w:val="toc 2"/>
    <w:basedOn w:val="1"/>
    <w:next w:val="1"/>
    <w:autoRedefine/>
    <w:unhideWhenUsed/>
    <w:qFormat/>
    <w:uiPriority w:val="39"/>
    <w:pPr>
      <w:ind w:left="420" w:leftChars="200"/>
    </w:pPr>
  </w:style>
  <w:style w:type="paragraph" w:styleId="14">
    <w:name w:val="Normal (Web)"/>
    <w:basedOn w:val="1"/>
    <w:unhideWhenUsed/>
    <w:qFormat/>
    <w:uiPriority w:val="99"/>
    <w:rPr>
      <w:rFonts w:ascii="宋体" w:hAnsi="宋体"/>
    </w:rPr>
  </w:style>
  <w:style w:type="paragraph" w:styleId="15">
    <w:name w:val="annotation subject"/>
    <w:basedOn w:val="7"/>
    <w:next w:val="7"/>
    <w:link w:val="24"/>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styleId="21">
    <w:name w:val="annotation reference"/>
    <w:basedOn w:val="18"/>
    <w:semiHidden/>
    <w:unhideWhenUsed/>
    <w:qFormat/>
    <w:uiPriority w:val="99"/>
    <w:rPr>
      <w:sz w:val="21"/>
      <w:szCs w:val="21"/>
    </w:rPr>
  </w:style>
  <w:style w:type="character" w:customStyle="1" w:styleId="22">
    <w:name w:val="short_text"/>
    <w:basedOn w:val="18"/>
    <w:qFormat/>
    <w:uiPriority w:val="0"/>
  </w:style>
  <w:style w:type="character" w:customStyle="1" w:styleId="23">
    <w:name w:val="批注文字 字符"/>
    <w:basedOn w:val="18"/>
    <w:link w:val="7"/>
    <w:semiHidden/>
    <w:qFormat/>
    <w:uiPriority w:val="99"/>
  </w:style>
  <w:style w:type="character" w:customStyle="1" w:styleId="24">
    <w:name w:val="批注主题 字符"/>
    <w:basedOn w:val="23"/>
    <w:link w:val="15"/>
    <w:semiHidden/>
    <w:qFormat/>
    <w:uiPriority w:val="99"/>
    <w:rPr>
      <w:b/>
      <w:bCs/>
    </w:rPr>
  </w:style>
  <w:style w:type="character" w:customStyle="1" w:styleId="25">
    <w:name w:val="批注框文本 字符"/>
    <w:basedOn w:val="18"/>
    <w:link w:val="9"/>
    <w:semiHidden/>
    <w:qFormat/>
    <w:uiPriority w:val="99"/>
    <w:rPr>
      <w:sz w:val="18"/>
      <w:szCs w:val="18"/>
    </w:rPr>
  </w:style>
  <w:style w:type="character" w:customStyle="1" w:styleId="26">
    <w:name w:val="页眉 字符"/>
    <w:basedOn w:val="18"/>
    <w:link w:val="11"/>
    <w:qFormat/>
    <w:uiPriority w:val="99"/>
    <w:rPr>
      <w:sz w:val="18"/>
      <w:szCs w:val="18"/>
    </w:rPr>
  </w:style>
  <w:style w:type="character" w:customStyle="1" w:styleId="27">
    <w:name w:val="页脚 字符"/>
    <w:basedOn w:val="18"/>
    <w:link w:val="10"/>
    <w:qFormat/>
    <w:uiPriority w:val="99"/>
    <w:rPr>
      <w:sz w:val="18"/>
      <w:szCs w:val="18"/>
    </w:rPr>
  </w:style>
  <w:style w:type="paragraph" w:styleId="28">
    <w:name w:val="List Paragraph"/>
    <w:basedOn w:val="1"/>
    <w:qFormat/>
    <w:uiPriority w:val="34"/>
    <w:pPr>
      <w:ind w:firstLine="420" w:firstLineChars="200"/>
    </w:pPr>
  </w:style>
  <w:style w:type="character" w:customStyle="1" w:styleId="29">
    <w:name w:val="标题 1 字符"/>
    <w:basedOn w:val="18"/>
    <w:link w:val="2"/>
    <w:qFormat/>
    <w:uiPriority w:val="9"/>
    <w:rPr>
      <w:rFonts w:eastAsia="宋体"/>
      <w:b/>
      <w:bCs/>
      <w:kern w:val="44"/>
      <w:sz w:val="28"/>
      <w:szCs w:val="44"/>
    </w:rPr>
  </w:style>
  <w:style w:type="character" w:customStyle="1" w:styleId="30">
    <w:name w:val="标题 2 字符"/>
    <w:basedOn w:val="18"/>
    <w:link w:val="3"/>
    <w:qFormat/>
    <w:uiPriority w:val="9"/>
    <w:rPr>
      <w:rFonts w:eastAsia="宋体" w:asciiTheme="majorHAnsi" w:hAnsiTheme="majorHAnsi" w:cstheme="majorBidi"/>
      <w:bCs/>
      <w:sz w:val="24"/>
      <w:szCs w:val="32"/>
    </w:rPr>
  </w:style>
  <w:style w:type="character" w:customStyle="1" w:styleId="31">
    <w:name w:val="标题 3 字符"/>
    <w:basedOn w:val="18"/>
    <w:link w:val="4"/>
    <w:qFormat/>
    <w:uiPriority w:val="9"/>
    <w:rPr>
      <w:rFonts w:ascii="Times New Roman" w:hAnsi="Times New Roman" w:eastAsia="宋体" w:cs="宋体"/>
      <w:bCs/>
      <w:sz w:val="24"/>
      <w:szCs w:val="32"/>
    </w:rPr>
  </w:style>
  <w:style w:type="character" w:customStyle="1" w:styleId="32">
    <w:name w:val="标题 4 字符"/>
    <w:basedOn w:val="18"/>
    <w:link w:val="5"/>
    <w:semiHidden/>
    <w:qFormat/>
    <w:uiPriority w:val="9"/>
    <w:rPr>
      <w:rFonts w:asciiTheme="majorHAnsi" w:hAnsiTheme="majorHAnsi" w:eastAsiaTheme="majorEastAsia" w:cstheme="majorBidi"/>
      <w:b/>
      <w:bCs/>
      <w:sz w:val="28"/>
      <w:szCs w:val="28"/>
    </w:rPr>
  </w:style>
  <w:style w:type="paragraph" w:customStyle="1" w:styleId="33">
    <w:name w:val="font-claude-response-body"/>
    <w:basedOn w:val="1"/>
    <w:qFormat/>
    <w:uiPriority w:val="0"/>
    <w:rPr>
      <w:rFonts w:ascii="宋体" w:hAnsi="宋体"/>
    </w:rPr>
  </w:style>
  <w:style w:type="paragraph" w:customStyle="1" w:styleId="34">
    <w:name w:val="TOC Heading"/>
    <w:basedOn w:val="2"/>
    <w:next w:val="1"/>
    <w:unhideWhenUsed/>
    <w:qFormat/>
    <w:uiPriority w:val="39"/>
    <w:pPr>
      <w:numPr>
        <w:numId w:val="0"/>
      </w:numPr>
      <w:spacing w:before="240" w:beforeAutospacing="0" w:after="0" w:afterAutospacing="0" w:line="259" w:lineRule="auto"/>
      <w:outlineLvl w:val="9"/>
    </w:pPr>
    <w:rPr>
      <w:rFonts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DD610-DCC5-4C45-BE69-2854924EF66E}">
  <ds:schemaRefs/>
</ds:datastoreItem>
</file>

<file path=docProps/app.xml><?xml version="1.0" encoding="utf-8"?>
<Properties xmlns="http://schemas.openxmlformats.org/officeDocument/2006/extended-properties" xmlns:vt="http://schemas.openxmlformats.org/officeDocument/2006/docPropsVTypes">
  <Template>Normal.dotm</Template>
  <Pages>26</Pages>
  <Words>6933</Words>
  <Characters>7413</Characters>
  <Lines>209</Lines>
  <Paragraphs>59</Paragraphs>
  <TotalTime>9</TotalTime>
  <ScaleCrop>false</ScaleCrop>
  <LinksUpToDate>false</LinksUpToDate>
  <CharactersWithSpaces>7485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2025-12-19T07:05:00Z</dcterms:created>
  <dc:creator>Dragon LZX</dc:creator>
  <cp:lastModifiedBy>as</cp:lastModifiedBy>
  <dcterms:modified xsi:type="dcterms:W3CDTF">2025-12-25T06:01:36Z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eyJoZGlkIjoiYjVhZGU5MWVhNGE1M2FmZDJkNWIzOTFjZGRhOWFhNjEiLCJ1c2VySWQiOiIxNTI4OTI4ODQwIn0=</vt:lpwstr>
  </property>
  <property fmtid="{D5CDD505-2E9C-101B-9397-08002B2CF9AE}" pid="4" name="ICV">
    <vt:lpwstr>A27F01F3B5C04060BF970583E3B13226_13</vt:lpwstr>
  </property>
</Properties>
</file>